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7" w:rsidRPr="00CE0B47" w:rsidRDefault="00231319" w:rsidP="009E073D">
      <w:pPr>
        <w:pStyle w:val="2"/>
        <w:rPr>
          <w:sz w:val="30"/>
          <w:szCs w:val="30"/>
        </w:rPr>
      </w:pPr>
      <w:bookmarkStart w:id="0" w:name="_GoBack"/>
      <w:r w:rsidRPr="00CE0B47">
        <w:rPr>
          <w:sz w:val="30"/>
          <w:szCs w:val="30"/>
        </w:rPr>
        <w:t>О</w:t>
      </w:r>
      <w:r w:rsidR="004347C1" w:rsidRPr="00D45E37">
        <w:rPr>
          <w:sz w:val="30"/>
          <w:szCs w:val="30"/>
        </w:rPr>
        <w:t xml:space="preserve"> </w:t>
      </w:r>
      <w:r w:rsidR="00606F25" w:rsidRPr="00CE0B47">
        <w:rPr>
          <w:sz w:val="30"/>
          <w:szCs w:val="30"/>
        </w:rPr>
        <w:t xml:space="preserve">классификации </w:t>
      </w:r>
      <w:r w:rsidR="00D45E37">
        <w:rPr>
          <w:sz w:val="30"/>
          <w:szCs w:val="30"/>
        </w:rPr>
        <w:t xml:space="preserve">отдельных </w:t>
      </w:r>
      <w:r w:rsidR="00CA2346">
        <w:rPr>
          <w:sz w:val="30"/>
          <w:szCs w:val="30"/>
        </w:rPr>
        <w:t>товаров</w:t>
      </w:r>
    </w:p>
    <w:bookmarkEnd w:id="0"/>
    <w:p w:rsidR="00ED639E" w:rsidRPr="00CE0B47" w:rsidRDefault="00ED639E" w:rsidP="00A051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BB63F0" w:rsidRDefault="00936CFC" w:rsidP="00BB63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</w:t>
      </w:r>
      <w:r w:rsidR="00A0515B" w:rsidRPr="00B76902">
        <w:rPr>
          <w:sz w:val="30"/>
          <w:szCs w:val="30"/>
        </w:rPr>
        <w:t xml:space="preserve"> 6 статьи 2</w:t>
      </w:r>
      <w:r w:rsidR="004C01A9" w:rsidRPr="00B76902">
        <w:rPr>
          <w:sz w:val="30"/>
          <w:szCs w:val="30"/>
        </w:rPr>
        <w:t>1</w:t>
      </w:r>
      <w:r w:rsidR="00A0515B" w:rsidRPr="00B76902">
        <w:rPr>
          <w:sz w:val="30"/>
          <w:szCs w:val="30"/>
        </w:rPr>
        <w:t xml:space="preserve"> Таможенного</w:t>
      </w:r>
      <w:r w:rsidR="005A3978" w:rsidRPr="00B76902">
        <w:rPr>
          <w:sz w:val="30"/>
          <w:szCs w:val="30"/>
        </w:rPr>
        <w:t xml:space="preserve"> кодекса </w:t>
      </w:r>
      <w:r w:rsidR="004C01A9" w:rsidRPr="00B76902">
        <w:rPr>
          <w:sz w:val="30"/>
          <w:szCs w:val="30"/>
        </w:rPr>
        <w:t xml:space="preserve">Евразийского экономического </w:t>
      </w:r>
      <w:r w:rsidR="005A3978" w:rsidRPr="00B76902">
        <w:rPr>
          <w:sz w:val="30"/>
          <w:szCs w:val="30"/>
        </w:rPr>
        <w:t>союза</w:t>
      </w:r>
      <w:r w:rsidR="00D540E3">
        <w:rPr>
          <w:sz w:val="30"/>
          <w:szCs w:val="30"/>
        </w:rPr>
        <w:t xml:space="preserve">, в целях реализации </w:t>
      </w:r>
      <w:r w:rsidR="00DF0EB3" w:rsidRPr="00B76902">
        <w:rPr>
          <w:sz w:val="30"/>
          <w:szCs w:val="30"/>
        </w:rPr>
        <w:t>решени</w:t>
      </w:r>
      <w:r w:rsidR="00235D33">
        <w:rPr>
          <w:sz w:val="30"/>
          <w:szCs w:val="30"/>
        </w:rPr>
        <w:t>й</w:t>
      </w:r>
      <w:r w:rsidR="00DF0EB3" w:rsidRPr="00B76902">
        <w:rPr>
          <w:sz w:val="30"/>
          <w:szCs w:val="30"/>
        </w:rPr>
        <w:t xml:space="preserve"> Объединенной коллегии таможенных служб государств-членов </w:t>
      </w:r>
      <w:r w:rsidR="00531BB7" w:rsidRPr="00B76902">
        <w:rPr>
          <w:sz w:val="30"/>
          <w:szCs w:val="30"/>
        </w:rPr>
        <w:t>Евразийского экономического</w:t>
      </w:r>
      <w:r w:rsidR="00DF0EB3" w:rsidRPr="00B76902">
        <w:rPr>
          <w:sz w:val="30"/>
          <w:szCs w:val="30"/>
        </w:rPr>
        <w:t xml:space="preserve"> союза</w:t>
      </w:r>
      <w:r w:rsidR="006A7EC4" w:rsidRPr="006A7EC4">
        <w:rPr>
          <w:sz w:val="30"/>
          <w:szCs w:val="30"/>
        </w:rPr>
        <w:t xml:space="preserve"> </w:t>
      </w:r>
      <w:r w:rsidR="00EB0D9F" w:rsidRPr="00B76902">
        <w:rPr>
          <w:sz w:val="30"/>
          <w:szCs w:val="30"/>
        </w:rPr>
        <w:t>от</w:t>
      </w:r>
      <w:r w:rsidR="006A7EC4" w:rsidRPr="006A7EC4">
        <w:rPr>
          <w:sz w:val="30"/>
          <w:szCs w:val="30"/>
        </w:rPr>
        <w:t xml:space="preserve"> </w:t>
      </w:r>
      <w:r w:rsidR="00BB6BBB">
        <w:rPr>
          <w:sz w:val="30"/>
          <w:szCs w:val="30"/>
        </w:rPr>
        <w:t>1 марта</w:t>
      </w:r>
      <w:r w:rsidR="006A7EC4" w:rsidRPr="006A7EC4">
        <w:rPr>
          <w:sz w:val="30"/>
          <w:szCs w:val="30"/>
        </w:rPr>
        <w:t xml:space="preserve"> </w:t>
      </w:r>
      <w:r w:rsidR="00EB0D9F" w:rsidRPr="00B76902">
        <w:rPr>
          <w:sz w:val="30"/>
          <w:szCs w:val="30"/>
        </w:rPr>
        <w:t>202</w:t>
      </w:r>
      <w:r w:rsidR="00BB6BBB">
        <w:rPr>
          <w:sz w:val="30"/>
          <w:szCs w:val="30"/>
        </w:rPr>
        <w:t>4</w:t>
      </w:r>
      <w:r w:rsidR="00EB0D9F" w:rsidRPr="00B76902">
        <w:rPr>
          <w:sz w:val="30"/>
          <w:szCs w:val="30"/>
        </w:rPr>
        <w:t xml:space="preserve"> года </w:t>
      </w:r>
      <w:r w:rsidR="002F173E" w:rsidRPr="00B76902">
        <w:rPr>
          <w:sz w:val="30"/>
          <w:szCs w:val="30"/>
        </w:rPr>
        <w:t>№</w:t>
      </w:r>
      <w:r w:rsidR="00235D33">
        <w:rPr>
          <w:sz w:val="30"/>
          <w:szCs w:val="30"/>
        </w:rPr>
        <w:t>№</w:t>
      </w:r>
      <w:r w:rsidR="008E0CBF" w:rsidRPr="00B76902">
        <w:rPr>
          <w:sz w:val="30"/>
          <w:szCs w:val="30"/>
        </w:rPr>
        <w:t>4</w:t>
      </w:r>
      <w:r w:rsidR="00BB6BBB">
        <w:rPr>
          <w:sz w:val="30"/>
          <w:szCs w:val="30"/>
        </w:rPr>
        <w:t>5</w:t>
      </w:r>
      <w:r w:rsidR="002F173E" w:rsidRPr="00B76902">
        <w:rPr>
          <w:sz w:val="30"/>
          <w:szCs w:val="30"/>
        </w:rPr>
        <w:t>/</w:t>
      </w:r>
      <w:r w:rsidR="00BB6BBB">
        <w:rPr>
          <w:sz w:val="30"/>
          <w:szCs w:val="30"/>
        </w:rPr>
        <w:t>7</w:t>
      </w:r>
      <w:r w:rsidR="00235D33">
        <w:rPr>
          <w:sz w:val="30"/>
          <w:szCs w:val="30"/>
        </w:rPr>
        <w:t xml:space="preserve"> – 4</w:t>
      </w:r>
      <w:r w:rsidR="00BB6BBB">
        <w:rPr>
          <w:sz w:val="30"/>
          <w:szCs w:val="30"/>
        </w:rPr>
        <w:t>5</w:t>
      </w:r>
      <w:r w:rsidR="00235D33">
        <w:rPr>
          <w:sz w:val="30"/>
          <w:szCs w:val="30"/>
        </w:rPr>
        <w:t>/10</w:t>
      </w:r>
      <w:r w:rsidR="006A7EC4" w:rsidRPr="006A7EC4">
        <w:rPr>
          <w:sz w:val="30"/>
          <w:szCs w:val="30"/>
        </w:rPr>
        <w:t xml:space="preserve"> </w:t>
      </w:r>
      <w:r w:rsidR="00D11655" w:rsidRPr="00B76902">
        <w:rPr>
          <w:sz w:val="30"/>
          <w:szCs w:val="30"/>
        </w:rPr>
        <w:t>Государственный таможенный комитет</w:t>
      </w:r>
      <w:r w:rsidR="00831761" w:rsidRPr="00B76902">
        <w:rPr>
          <w:sz w:val="30"/>
          <w:szCs w:val="30"/>
        </w:rPr>
        <w:t xml:space="preserve"> разъясняет</w:t>
      </w:r>
      <w:r w:rsidR="00995EE1" w:rsidRPr="00B76902">
        <w:rPr>
          <w:sz w:val="30"/>
          <w:szCs w:val="30"/>
        </w:rPr>
        <w:t xml:space="preserve"> следующее</w:t>
      </w:r>
      <w:r w:rsidR="00065679" w:rsidRPr="00B76902">
        <w:rPr>
          <w:sz w:val="30"/>
          <w:szCs w:val="30"/>
        </w:rPr>
        <w:t>.</w:t>
      </w:r>
    </w:p>
    <w:p w:rsidR="00B76902" w:rsidRDefault="00235D33" w:rsidP="00D261C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8E0A0C">
        <w:rPr>
          <w:sz w:val="30"/>
          <w:szCs w:val="30"/>
        </w:rPr>
        <w:t> </w:t>
      </w:r>
      <w:r w:rsidR="00D261CF">
        <w:rPr>
          <w:bCs/>
          <w:sz w:val="30"/>
          <w:szCs w:val="30"/>
        </w:rPr>
        <w:t>П</w:t>
      </w:r>
      <w:r w:rsidR="00D261CF" w:rsidRPr="00D261CF">
        <w:rPr>
          <w:bCs/>
          <w:sz w:val="30"/>
          <w:szCs w:val="30"/>
        </w:rPr>
        <w:t>роходные клеммы, поставляемые</w:t>
      </w:r>
      <w:r w:rsidR="00D261CF">
        <w:rPr>
          <w:bCs/>
          <w:sz w:val="30"/>
          <w:szCs w:val="30"/>
        </w:rPr>
        <w:t xml:space="preserve"> поштучно как отдельный элемент </w:t>
      </w:r>
      <w:r w:rsidR="00D261CF" w:rsidRPr="00D261CF">
        <w:rPr>
          <w:bCs/>
          <w:sz w:val="30"/>
          <w:szCs w:val="30"/>
        </w:rPr>
        <w:t>в целях возможности конечному пользователю по своим индивидуальным инженерным проектам осуществлять сборку</w:t>
      </w:r>
      <w:r w:rsidR="006A7EC4">
        <w:rPr>
          <w:bCs/>
          <w:sz w:val="30"/>
          <w:szCs w:val="30"/>
        </w:rPr>
        <w:t xml:space="preserve"> необходимых для него решений, </w:t>
      </w:r>
      <w:r w:rsidR="00D261CF" w:rsidRPr="00D261CF">
        <w:rPr>
          <w:bCs/>
          <w:sz w:val="30"/>
          <w:szCs w:val="30"/>
        </w:rPr>
        <w:t>представляющие собой устройства из электроизоляционного материала с токоведущей шиной, прижимными элементами, а также иными деталями, различающимися в зависимости от типа клеммы</w:t>
      </w:r>
      <w:r w:rsidR="00B413FA">
        <w:rPr>
          <w:bCs/>
          <w:sz w:val="30"/>
          <w:szCs w:val="30"/>
        </w:rPr>
        <w:t xml:space="preserve">. </w:t>
      </w:r>
      <w:r w:rsidR="00ED37E4">
        <w:rPr>
          <w:bCs/>
          <w:sz w:val="30"/>
          <w:szCs w:val="30"/>
        </w:rPr>
        <w:t>Устройства</w:t>
      </w:r>
      <w:r w:rsidR="00B413FA">
        <w:rPr>
          <w:bCs/>
          <w:sz w:val="30"/>
          <w:szCs w:val="30"/>
        </w:rPr>
        <w:t xml:space="preserve"> предназначены</w:t>
      </w:r>
      <w:r w:rsidR="00D261CF" w:rsidRPr="00D261CF">
        <w:rPr>
          <w:bCs/>
          <w:sz w:val="30"/>
          <w:szCs w:val="30"/>
        </w:rPr>
        <w:t xml:space="preserve"> для удобного подключения и надежного соединения проводов при монтаже оборудования внутри силовых щитов, шкафов автоматизации и у</w:t>
      </w:r>
      <w:r w:rsidR="00B413FA">
        <w:rPr>
          <w:bCs/>
          <w:sz w:val="30"/>
          <w:szCs w:val="30"/>
        </w:rPr>
        <w:t>правления, при разводке кабелей</w:t>
      </w:r>
      <w:r w:rsidR="006A7EC4" w:rsidRPr="006A7EC4">
        <w:rPr>
          <w:bCs/>
          <w:sz w:val="30"/>
          <w:szCs w:val="30"/>
        </w:rPr>
        <w:t xml:space="preserve"> </w:t>
      </w:r>
      <w:r w:rsidR="00B413FA">
        <w:rPr>
          <w:bCs/>
          <w:sz w:val="30"/>
          <w:szCs w:val="30"/>
        </w:rPr>
        <w:t>и конструктивно обеспечивают</w:t>
      </w:r>
      <w:r w:rsidR="00D261CF" w:rsidRPr="00D261CF">
        <w:rPr>
          <w:bCs/>
          <w:sz w:val="30"/>
          <w:szCs w:val="30"/>
        </w:rPr>
        <w:t xml:space="preserve"> возможность быстрого разветвления цепей и установки принадлежности тестирования, позволяющей параллельно подключать несколько кабелей с обеих сторон для создания более сложных схем разводки</w:t>
      </w:r>
      <w:r w:rsidR="00ED37E4">
        <w:rPr>
          <w:sz w:val="30"/>
          <w:szCs w:val="30"/>
        </w:rPr>
        <w:t>. В</w:t>
      </w:r>
      <w:r w:rsidR="00BB63F0" w:rsidRPr="00BB63F0">
        <w:rPr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 </w:t>
      </w:r>
      <w:r w:rsidR="00ED37E4">
        <w:rPr>
          <w:sz w:val="30"/>
          <w:szCs w:val="30"/>
        </w:rPr>
        <w:t xml:space="preserve">товар </w:t>
      </w:r>
      <w:r w:rsidR="00BB63F0" w:rsidRPr="00BB63F0">
        <w:rPr>
          <w:sz w:val="30"/>
          <w:szCs w:val="30"/>
        </w:rPr>
        <w:t>классифициру</w:t>
      </w:r>
      <w:r w:rsidR="00763D0E">
        <w:rPr>
          <w:sz w:val="30"/>
          <w:szCs w:val="30"/>
        </w:rPr>
        <w:t>ю</w:t>
      </w:r>
      <w:r w:rsidR="00BB63F0" w:rsidRPr="00BB63F0">
        <w:rPr>
          <w:sz w:val="30"/>
          <w:szCs w:val="30"/>
        </w:rPr>
        <w:t xml:space="preserve">тся в </w:t>
      </w:r>
      <w:proofErr w:type="spellStart"/>
      <w:r w:rsidR="00D261CF">
        <w:rPr>
          <w:sz w:val="30"/>
          <w:szCs w:val="30"/>
        </w:rPr>
        <w:t>под</w:t>
      </w:r>
      <w:r w:rsidR="00BB63F0" w:rsidRPr="00BB63F0">
        <w:rPr>
          <w:sz w:val="30"/>
          <w:szCs w:val="30"/>
        </w:rPr>
        <w:t>субпозиции</w:t>
      </w:r>
      <w:proofErr w:type="spellEnd"/>
      <w:r w:rsidR="00BB63F0" w:rsidRPr="00BB63F0">
        <w:rPr>
          <w:sz w:val="30"/>
          <w:szCs w:val="30"/>
        </w:rPr>
        <w:t xml:space="preserve"> </w:t>
      </w:r>
      <w:r w:rsidR="006A7EC4">
        <w:rPr>
          <w:sz w:val="30"/>
          <w:szCs w:val="30"/>
        </w:rPr>
        <w:t>8536</w:t>
      </w:r>
      <w:r w:rsidR="006A7EC4">
        <w:rPr>
          <w:sz w:val="30"/>
          <w:szCs w:val="30"/>
          <w:lang w:val="en-US"/>
        </w:rPr>
        <w:t> </w:t>
      </w:r>
      <w:r w:rsidR="006A7EC4">
        <w:rPr>
          <w:sz w:val="30"/>
          <w:szCs w:val="30"/>
        </w:rPr>
        <w:t>90 100</w:t>
      </w:r>
      <w:r w:rsidR="006A7EC4">
        <w:rPr>
          <w:sz w:val="30"/>
          <w:szCs w:val="30"/>
          <w:lang w:val="en-US"/>
        </w:rPr>
        <w:t> </w:t>
      </w:r>
      <w:r w:rsidR="00D261CF">
        <w:rPr>
          <w:sz w:val="30"/>
          <w:szCs w:val="30"/>
        </w:rPr>
        <w:t>0</w:t>
      </w:r>
      <w:r w:rsidR="00BB63F0" w:rsidRPr="00BB63F0">
        <w:rPr>
          <w:sz w:val="30"/>
          <w:szCs w:val="30"/>
        </w:rPr>
        <w:t xml:space="preserve"> единой Товарной номенклатуры внешнеэкономической деятельности Евразийского экономического союза.</w:t>
      </w:r>
    </w:p>
    <w:p w:rsidR="00D261CF" w:rsidRDefault="00D261CF" w:rsidP="00D261C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8E0A0C">
        <w:rPr>
          <w:sz w:val="30"/>
          <w:szCs w:val="30"/>
        </w:rPr>
        <w:t> </w:t>
      </w:r>
      <w:r>
        <w:rPr>
          <w:sz w:val="30"/>
          <w:szCs w:val="30"/>
        </w:rPr>
        <w:t>А</w:t>
      </w:r>
      <w:r w:rsidRPr="00D261CF">
        <w:rPr>
          <w:sz w:val="30"/>
          <w:szCs w:val="30"/>
        </w:rPr>
        <w:t xml:space="preserve">роматизированное оливковое масло, произведенное из оливкового масла первого прессования (отжима) высшего качества с добавлением </w:t>
      </w:r>
      <w:proofErr w:type="spellStart"/>
      <w:r w:rsidRPr="00D261CF">
        <w:rPr>
          <w:sz w:val="30"/>
          <w:szCs w:val="30"/>
        </w:rPr>
        <w:t>ароматизаторов</w:t>
      </w:r>
      <w:proofErr w:type="spellEnd"/>
      <w:r w:rsidRPr="00D261CF">
        <w:rPr>
          <w:sz w:val="30"/>
          <w:szCs w:val="30"/>
        </w:rPr>
        <w:t xml:space="preserve"> и (или) </w:t>
      </w:r>
      <w:proofErr w:type="spellStart"/>
      <w:r w:rsidRPr="00D261CF">
        <w:rPr>
          <w:sz w:val="30"/>
          <w:szCs w:val="30"/>
        </w:rPr>
        <w:t>вкусоароматических</w:t>
      </w:r>
      <w:proofErr w:type="spellEnd"/>
      <w:r w:rsidRPr="00D261CF">
        <w:rPr>
          <w:sz w:val="30"/>
          <w:szCs w:val="30"/>
        </w:rPr>
        <w:t xml:space="preserve"> добавок, не являющихся жирами или маслами другой природы (например трюфеля/базилика), без изменения химического состава</w:t>
      </w:r>
      <w:r w:rsidR="008E0A0C">
        <w:rPr>
          <w:sz w:val="30"/>
          <w:szCs w:val="30"/>
        </w:rPr>
        <w:t>, в</w:t>
      </w:r>
      <w:r w:rsidRPr="00D261CF">
        <w:rPr>
          <w:sz w:val="30"/>
          <w:szCs w:val="30"/>
        </w:rPr>
        <w:t xml:space="preserve"> соответствии с Основным правилом интерпретации Товарной номенклатуры внешнеэкономической деятельности 1 классифицируется в товарной позиции 1509 единой Товарной номенклатуры внешнеэкономической деятельности Евразийского экономического союза.</w:t>
      </w:r>
    </w:p>
    <w:p w:rsidR="00D261CF" w:rsidRDefault="00D261CF" w:rsidP="00D261C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8E0A0C">
        <w:rPr>
          <w:sz w:val="30"/>
          <w:szCs w:val="30"/>
        </w:rPr>
        <w:t> </w:t>
      </w:r>
      <w:r>
        <w:rPr>
          <w:sz w:val="30"/>
          <w:szCs w:val="30"/>
        </w:rPr>
        <w:t>Н</w:t>
      </w:r>
      <w:r w:rsidRPr="00D261CF">
        <w:rPr>
          <w:sz w:val="30"/>
          <w:szCs w:val="30"/>
        </w:rPr>
        <w:t>аушники, представляющие собой беспроводную гарнитуру, имеющие</w:t>
      </w:r>
      <w:r w:rsidR="006A7EC4">
        <w:rPr>
          <w:sz w:val="30"/>
          <w:szCs w:val="30"/>
        </w:rPr>
        <w:t>:</w:t>
      </w:r>
      <w:r w:rsidRPr="00D261CF">
        <w:rPr>
          <w:sz w:val="30"/>
          <w:szCs w:val="30"/>
        </w:rPr>
        <w:t xml:space="preserve"> слот для карты памяти стандарта </w:t>
      </w:r>
      <w:proofErr w:type="spellStart"/>
      <w:r w:rsidRPr="00D261CF">
        <w:rPr>
          <w:sz w:val="30"/>
          <w:szCs w:val="30"/>
        </w:rPr>
        <w:t>Micro</w:t>
      </w:r>
      <w:proofErr w:type="spellEnd"/>
      <w:r w:rsidRPr="00D261CF">
        <w:rPr>
          <w:sz w:val="30"/>
          <w:szCs w:val="30"/>
        </w:rPr>
        <w:t xml:space="preserve">-SD, </w:t>
      </w:r>
      <w:r w:rsidR="006A7EC4">
        <w:rPr>
          <w:sz w:val="30"/>
          <w:szCs w:val="30"/>
        </w:rPr>
        <w:t xml:space="preserve">за счет чего </w:t>
      </w:r>
      <w:r w:rsidR="00ED37E4">
        <w:rPr>
          <w:sz w:val="30"/>
          <w:szCs w:val="30"/>
        </w:rPr>
        <w:t>обеспечивается возможность</w:t>
      </w:r>
      <w:r w:rsidRPr="00D261CF">
        <w:rPr>
          <w:sz w:val="30"/>
          <w:szCs w:val="30"/>
        </w:rPr>
        <w:t xml:space="preserve"> слушать музыку, не подключаясь к смартфону или ноутбуку</w:t>
      </w:r>
      <w:r w:rsidR="006A7EC4">
        <w:rPr>
          <w:sz w:val="30"/>
          <w:szCs w:val="30"/>
        </w:rPr>
        <w:t xml:space="preserve">; </w:t>
      </w:r>
      <w:r w:rsidRPr="00D261CF">
        <w:rPr>
          <w:sz w:val="30"/>
          <w:szCs w:val="30"/>
        </w:rPr>
        <w:t>встроенный микрофон, обеспечивающий качественную передачу звука и позволяющий ответить на звонок либо переключить композицию, не доставая телефон из сумки</w:t>
      </w:r>
      <w:r w:rsidR="008E0A0C">
        <w:rPr>
          <w:sz w:val="30"/>
          <w:szCs w:val="30"/>
        </w:rPr>
        <w:t>, в</w:t>
      </w:r>
      <w:r w:rsidRPr="00D261CF">
        <w:rPr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(примечание 3 к разделу XVI) и 6 </w:t>
      </w:r>
      <w:r w:rsidRPr="00D261CF">
        <w:rPr>
          <w:sz w:val="30"/>
          <w:szCs w:val="30"/>
        </w:rPr>
        <w:lastRenderedPageBreak/>
        <w:t>классифициру</w:t>
      </w:r>
      <w:r w:rsidR="004C0237">
        <w:rPr>
          <w:sz w:val="30"/>
          <w:szCs w:val="30"/>
        </w:rPr>
        <w:t>ю</w:t>
      </w:r>
      <w:r w:rsidRPr="00D261CF">
        <w:rPr>
          <w:sz w:val="30"/>
          <w:szCs w:val="30"/>
        </w:rPr>
        <w:t>тся в субпозиции 8518 30 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4C0237">
        <w:rPr>
          <w:sz w:val="30"/>
          <w:szCs w:val="30"/>
        </w:rPr>
        <w:t>4.</w:t>
      </w:r>
      <w:r w:rsidR="009C5A07">
        <w:rPr>
          <w:sz w:val="30"/>
          <w:szCs w:val="30"/>
        </w:rPr>
        <w:t> </w:t>
      </w:r>
      <w:r w:rsidRPr="004C0237">
        <w:rPr>
          <w:sz w:val="30"/>
          <w:szCs w:val="30"/>
        </w:rPr>
        <w:t>Одноразовые пакетики (Рис.</w:t>
      </w:r>
      <w:r w:rsidR="00B72A65">
        <w:rPr>
          <w:sz w:val="30"/>
          <w:szCs w:val="30"/>
          <w:lang w:val="en-US"/>
        </w:rPr>
        <w:t> </w:t>
      </w:r>
      <w:r w:rsidRPr="004C0237">
        <w:rPr>
          <w:sz w:val="30"/>
          <w:szCs w:val="30"/>
        </w:rPr>
        <w:t xml:space="preserve">1) с никотином для перорального применения, содержащие табак, фармацевтический никотин, воду и другие пищевые ингредиенты, включая волокна эвкалипта и сосны, </w:t>
      </w:r>
      <w:proofErr w:type="spellStart"/>
      <w:r w:rsidRPr="004C0237">
        <w:rPr>
          <w:sz w:val="30"/>
          <w:szCs w:val="30"/>
        </w:rPr>
        <w:t>ароматизаторы</w:t>
      </w:r>
      <w:proofErr w:type="spellEnd"/>
      <w:r w:rsidRPr="004C0237">
        <w:rPr>
          <w:sz w:val="30"/>
          <w:szCs w:val="30"/>
        </w:rPr>
        <w:t xml:space="preserve"> и подсластители. Пользователи помещают пакетик между десной и верхней губой. Во время использования выделяются никотин и </w:t>
      </w:r>
      <w:proofErr w:type="spellStart"/>
      <w:r w:rsidRPr="004C0237">
        <w:rPr>
          <w:sz w:val="30"/>
          <w:szCs w:val="30"/>
        </w:rPr>
        <w:t>ароматизаторы</w:t>
      </w:r>
      <w:proofErr w:type="spellEnd"/>
      <w:r w:rsidRPr="004C0237">
        <w:rPr>
          <w:sz w:val="30"/>
          <w:szCs w:val="30"/>
        </w:rPr>
        <w:t>, и только никотин всасывается через слизистую оболочку полости рта в десну. Они предназначены для рекреационного использования и не предназначены для содействия отказа от у</w:t>
      </w:r>
      <w:r>
        <w:rPr>
          <w:sz w:val="30"/>
          <w:szCs w:val="30"/>
        </w:rPr>
        <w:t>потребления табака.</w:t>
      </w:r>
      <w:r w:rsidR="009C5A07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В</w:t>
      </w:r>
      <w:r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 </w:t>
      </w:r>
      <w:r w:rsidR="008E0A0C">
        <w:rPr>
          <w:bCs/>
          <w:sz w:val="30"/>
          <w:szCs w:val="30"/>
        </w:rPr>
        <w:t xml:space="preserve">товар </w:t>
      </w:r>
      <w:r w:rsidRPr="004C0237">
        <w:rPr>
          <w:bCs/>
          <w:sz w:val="30"/>
          <w:szCs w:val="30"/>
        </w:rPr>
        <w:t>классифициру</w:t>
      </w:r>
      <w:r w:rsidR="008E0A0C">
        <w:rPr>
          <w:bCs/>
          <w:sz w:val="30"/>
          <w:szCs w:val="30"/>
        </w:rPr>
        <w:t>е</w:t>
      </w:r>
      <w:r w:rsidRPr="004C0237">
        <w:rPr>
          <w:bCs/>
          <w:sz w:val="30"/>
          <w:szCs w:val="30"/>
        </w:rPr>
        <w:t>тся в субпозиции 2403 99</w:t>
      </w:r>
      <w:r w:rsidR="009C5A07">
        <w:rPr>
          <w:bCs/>
          <w:sz w:val="30"/>
          <w:szCs w:val="30"/>
        </w:rPr>
        <w:t xml:space="preserve"> </w:t>
      </w:r>
      <w:r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noProof/>
          <w:sz w:val="30"/>
          <w:szCs w:val="30"/>
        </w:rPr>
        <w:drawing>
          <wp:inline distT="0" distB="0" distL="0" distR="0">
            <wp:extent cx="2492571" cy="1095555"/>
            <wp:effectExtent l="0" t="0" r="3175" b="9525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50" cy="11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sz w:val="30"/>
          <w:szCs w:val="30"/>
        </w:rPr>
        <w:t>Рис.1</w:t>
      </w:r>
    </w:p>
    <w:p w:rsidR="004C0237" w:rsidRPr="004C0237" w:rsidRDefault="002D7359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5</w:t>
      </w:r>
      <w:r w:rsidR="004C0237" w:rsidRPr="004C0237">
        <w:rPr>
          <w:sz w:val="30"/>
          <w:szCs w:val="30"/>
        </w:rPr>
        <w:t xml:space="preserve">. Одноразовые пакетики (Рис. 2) с никотином для перорального применения, содержащие фармацевтический никотин, воду и другие пищевые ингредиенты, включая волокна эвкалипта и сосны, </w:t>
      </w:r>
      <w:proofErr w:type="spellStart"/>
      <w:r w:rsidR="004C0237" w:rsidRPr="004C0237">
        <w:rPr>
          <w:sz w:val="30"/>
          <w:szCs w:val="30"/>
        </w:rPr>
        <w:t>ароматизаторы</w:t>
      </w:r>
      <w:proofErr w:type="spellEnd"/>
      <w:r w:rsidR="004C0237" w:rsidRPr="004C0237">
        <w:rPr>
          <w:sz w:val="30"/>
          <w:szCs w:val="30"/>
        </w:rPr>
        <w:t xml:space="preserve"> и подсластители, но не содержащие табак. Пользователи помещают пакетик между десной и верхней губой. Во время и</w:t>
      </w:r>
      <w:r w:rsidR="004C0237">
        <w:rPr>
          <w:sz w:val="30"/>
          <w:szCs w:val="30"/>
        </w:rPr>
        <w:t xml:space="preserve">спользования выделяются никотин </w:t>
      </w:r>
      <w:r w:rsidR="004C0237" w:rsidRPr="004C0237">
        <w:rPr>
          <w:sz w:val="30"/>
          <w:szCs w:val="30"/>
        </w:rPr>
        <w:t xml:space="preserve">и </w:t>
      </w:r>
      <w:proofErr w:type="spellStart"/>
      <w:r w:rsidR="004C0237" w:rsidRPr="004C0237">
        <w:rPr>
          <w:sz w:val="30"/>
          <w:szCs w:val="30"/>
        </w:rPr>
        <w:t>ароматизаторы</w:t>
      </w:r>
      <w:proofErr w:type="spellEnd"/>
      <w:r w:rsidR="004C0237" w:rsidRPr="004C0237">
        <w:rPr>
          <w:sz w:val="30"/>
          <w:szCs w:val="30"/>
        </w:rPr>
        <w:t>, и только никотин всасывается через слизистую оболочку полости рта в десну. Они предназначены для рекреационного использования и не предназначены для содействия отказа от употребления таба</w:t>
      </w:r>
      <w:r w:rsidR="004C0237">
        <w:rPr>
          <w:sz w:val="30"/>
          <w:szCs w:val="30"/>
        </w:rPr>
        <w:t>ка.</w:t>
      </w:r>
      <w:r w:rsidR="00DC11CC">
        <w:rPr>
          <w:sz w:val="30"/>
          <w:szCs w:val="30"/>
        </w:rPr>
        <w:t xml:space="preserve"> </w:t>
      </w:r>
      <w:r w:rsidR="004C0237">
        <w:rPr>
          <w:bCs/>
          <w:sz w:val="30"/>
          <w:szCs w:val="30"/>
        </w:rPr>
        <w:t>В</w:t>
      </w:r>
      <w:r w:rsidR="004C0237"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</w:t>
      </w:r>
      <w:r w:rsidR="008E0A0C">
        <w:rPr>
          <w:bCs/>
          <w:sz w:val="30"/>
          <w:szCs w:val="30"/>
        </w:rPr>
        <w:t xml:space="preserve"> товар классифицируе</w:t>
      </w:r>
      <w:r w:rsidR="00A527DB">
        <w:rPr>
          <w:bCs/>
          <w:sz w:val="30"/>
          <w:szCs w:val="30"/>
        </w:rPr>
        <w:t xml:space="preserve">тся в субпозиции </w:t>
      </w:r>
      <w:r w:rsidR="004C0237" w:rsidRPr="004C0237">
        <w:rPr>
          <w:bCs/>
          <w:sz w:val="30"/>
          <w:szCs w:val="30"/>
        </w:rPr>
        <w:t>2404 91</w:t>
      </w:r>
      <w:r w:rsidR="004C0237" w:rsidRPr="004C0237">
        <w:rPr>
          <w:sz w:val="30"/>
          <w:szCs w:val="30"/>
        </w:rPr>
        <w:t xml:space="preserve"> 000 </w:t>
      </w:r>
      <w:r w:rsidR="004C0237"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noProof/>
          <w:sz w:val="30"/>
          <w:szCs w:val="30"/>
        </w:rPr>
        <w:drawing>
          <wp:inline distT="0" distB="0" distL="0" distR="0">
            <wp:extent cx="2406770" cy="1326504"/>
            <wp:effectExtent l="0" t="0" r="0" b="7620"/>
            <wp:docPr id="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8" cy="13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37" w:rsidRPr="0041399D" w:rsidRDefault="004C0237" w:rsidP="0041399D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sz w:val="30"/>
          <w:szCs w:val="30"/>
        </w:rPr>
        <w:t>Рис. 2</w:t>
      </w:r>
    </w:p>
    <w:p w:rsidR="00797594" w:rsidRPr="00797594" w:rsidRDefault="002D7359" w:rsidP="00797594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4C0237" w:rsidRPr="004C0237">
        <w:rPr>
          <w:sz w:val="30"/>
          <w:szCs w:val="30"/>
        </w:rPr>
        <w:t>. Табачные капсулы (Рис. 3), пред</w:t>
      </w:r>
      <w:r w:rsidR="000F58AB">
        <w:rPr>
          <w:sz w:val="30"/>
          <w:szCs w:val="30"/>
        </w:rPr>
        <w:t xml:space="preserve">ставленные как отдельный товар </w:t>
      </w:r>
      <w:r w:rsidR="004C0237" w:rsidRPr="004C0237">
        <w:rPr>
          <w:sz w:val="30"/>
          <w:szCs w:val="30"/>
        </w:rPr>
        <w:t xml:space="preserve">и предназначенные для использования в специальном устройстве электрического нагрева, состоящем из картриджа и аккумулятора. Табачная капсула имеет цилиндрическую форму (длина 22,9 см, диаметр 9,5/8,4 мм) и состоит из наружной капсулы из полипропилена, наполненной приблизительно 0,31 грамм смеси гранулированного восстановленного табака, воды, ароматического вещества, а также мундштука из ацетат целлюлозы. Общий вес табачной капсулы составляет приблизительно </w:t>
      </w:r>
      <w:r w:rsidR="00BA2D8D">
        <w:rPr>
          <w:sz w:val="30"/>
          <w:szCs w:val="30"/>
        </w:rPr>
        <w:t>0,56 </w:t>
      </w:r>
      <w:r w:rsidR="004C0237" w:rsidRPr="004C0237">
        <w:rPr>
          <w:sz w:val="30"/>
          <w:szCs w:val="30"/>
        </w:rPr>
        <w:t xml:space="preserve">г. Табачная капсула вставляется в конец картриджа, который содержит жидкость, состоящую из </w:t>
      </w:r>
      <w:proofErr w:type="spellStart"/>
      <w:r w:rsidR="004C0237" w:rsidRPr="004C0237">
        <w:rPr>
          <w:sz w:val="30"/>
          <w:szCs w:val="30"/>
        </w:rPr>
        <w:t>пропиленгликоля</w:t>
      </w:r>
      <w:proofErr w:type="spellEnd"/>
      <w:r w:rsidR="004C0237" w:rsidRPr="004C0237">
        <w:rPr>
          <w:sz w:val="30"/>
          <w:szCs w:val="30"/>
        </w:rPr>
        <w:t>, глицерина и воды. После того как картридж установлен в аккумулятор, табачную капсулу можно использовать для вдыхания. П</w:t>
      </w:r>
      <w:r w:rsidR="000F58AB">
        <w:rPr>
          <w:sz w:val="30"/>
          <w:szCs w:val="30"/>
        </w:rPr>
        <w:t xml:space="preserve">ри вдыхании срабатывает датчик </w:t>
      </w:r>
      <w:r w:rsidR="004C0237" w:rsidRPr="004C0237">
        <w:rPr>
          <w:sz w:val="30"/>
          <w:szCs w:val="30"/>
        </w:rPr>
        <w:t>в аккумуляторе, и внутренняя часть картриджа нагревается, что инициирует испарение жидкости из картриджа. При прохождении через табачную капсулу (Рис. 4) пар из картриджа нагревает гранулированный восстановленный табак и абсорбирует ароматы и никотин, содержащиеся в гранулированном восстановленном табаке. Таким образом, никотин, содержащийся в аэрозоле (паре), высвобождае</w:t>
      </w:r>
      <w:r w:rsidR="004C0237">
        <w:rPr>
          <w:sz w:val="30"/>
          <w:szCs w:val="30"/>
        </w:rPr>
        <w:t>тся без процесса горения табака.</w:t>
      </w:r>
      <w:r w:rsidR="00DC11CC">
        <w:rPr>
          <w:sz w:val="30"/>
          <w:szCs w:val="30"/>
        </w:rPr>
        <w:t xml:space="preserve"> </w:t>
      </w:r>
      <w:r w:rsidR="004C0237">
        <w:rPr>
          <w:bCs/>
          <w:sz w:val="30"/>
          <w:szCs w:val="30"/>
        </w:rPr>
        <w:t>В</w:t>
      </w:r>
      <w:r w:rsidR="004C0237"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</w:t>
      </w:r>
      <w:r w:rsidR="00DC11CC">
        <w:rPr>
          <w:bCs/>
          <w:sz w:val="30"/>
          <w:szCs w:val="30"/>
        </w:rPr>
        <w:t xml:space="preserve"> </w:t>
      </w:r>
      <w:r w:rsidR="00527C14">
        <w:rPr>
          <w:bCs/>
          <w:sz w:val="30"/>
          <w:szCs w:val="30"/>
        </w:rPr>
        <w:t xml:space="preserve">и 6 </w:t>
      </w:r>
      <w:r w:rsidR="008E0A0C">
        <w:rPr>
          <w:bCs/>
          <w:sz w:val="30"/>
          <w:szCs w:val="30"/>
        </w:rPr>
        <w:t xml:space="preserve">товар </w:t>
      </w:r>
      <w:r w:rsidR="004C0237" w:rsidRPr="004C0237">
        <w:rPr>
          <w:bCs/>
          <w:sz w:val="30"/>
          <w:szCs w:val="30"/>
        </w:rPr>
        <w:t>классифициру</w:t>
      </w:r>
      <w:r w:rsidR="008E0A0C">
        <w:rPr>
          <w:bCs/>
          <w:sz w:val="30"/>
          <w:szCs w:val="30"/>
        </w:rPr>
        <w:t>е</w:t>
      </w:r>
      <w:r w:rsidR="004C0237" w:rsidRPr="004C0237">
        <w:rPr>
          <w:bCs/>
          <w:sz w:val="30"/>
          <w:szCs w:val="30"/>
        </w:rPr>
        <w:t>тся в субпозиции 2404 11</w:t>
      </w:r>
      <w:r w:rsidR="00DC11CC">
        <w:rPr>
          <w:bCs/>
          <w:sz w:val="30"/>
          <w:szCs w:val="30"/>
        </w:rPr>
        <w:t> </w:t>
      </w:r>
      <w:r w:rsidR="004C0237" w:rsidRPr="004C0237">
        <w:rPr>
          <w:bCs/>
          <w:sz w:val="30"/>
          <w:szCs w:val="30"/>
        </w:rPr>
        <w:t>000</w:t>
      </w:r>
      <w:r w:rsidR="00DC11CC">
        <w:rPr>
          <w:bCs/>
          <w:sz w:val="30"/>
          <w:szCs w:val="30"/>
        </w:rPr>
        <w:t xml:space="preserve"> </w:t>
      </w:r>
      <w:r w:rsidR="004C0237"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  <w:r w:rsidRPr="004C0237">
        <w:rPr>
          <w:noProof/>
          <w:sz w:val="30"/>
          <w:szCs w:val="30"/>
        </w:rPr>
        <w:drawing>
          <wp:inline distT="0" distB="0" distL="0" distR="0">
            <wp:extent cx="4382218" cy="103564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0950" cy="10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  <w:r w:rsidRPr="004C0237">
        <w:rPr>
          <w:bCs/>
          <w:sz w:val="30"/>
          <w:szCs w:val="30"/>
        </w:rPr>
        <w:t>Рис.3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  <w:r w:rsidRPr="004C0237">
        <w:rPr>
          <w:noProof/>
          <w:sz w:val="30"/>
          <w:szCs w:val="30"/>
        </w:rPr>
        <w:drawing>
          <wp:inline distT="0" distB="0" distL="0" distR="0">
            <wp:extent cx="3856008" cy="112334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633" cy="11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37" w:rsidRPr="002D7359" w:rsidRDefault="004C0237" w:rsidP="004C023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  <w:r w:rsidRPr="004C0237">
        <w:rPr>
          <w:bCs/>
          <w:sz w:val="30"/>
          <w:szCs w:val="30"/>
        </w:rPr>
        <w:t>Рис.4</w:t>
      </w:r>
    </w:p>
    <w:p w:rsidR="00797594" w:rsidRPr="002D7359" w:rsidRDefault="00797594" w:rsidP="004C0237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</w:rPr>
      </w:pPr>
    </w:p>
    <w:p w:rsidR="004C0237" w:rsidRPr="004C0237" w:rsidRDefault="002D7359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7</w:t>
      </w:r>
      <w:r w:rsidR="004C0237" w:rsidRPr="004C0237">
        <w:rPr>
          <w:bCs/>
          <w:sz w:val="30"/>
          <w:szCs w:val="30"/>
        </w:rPr>
        <w:t xml:space="preserve">. Ингалятор, содержащий 10 мг никотина в картридже. Продукт представляет собой отпускаемое только по рецепту устройство, используемое для прекращения курения. Он не использует нагрев в своей системе доставки. Пользователь делает вдох через пластмассовый мундштук на конце ингалятора, чтобы включить и вдыхать из картриджа, </w:t>
      </w:r>
      <w:r w:rsidR="004C0237" w:rsidRPr="004C0237">
        <w:rPr>
          <w:bCs/>
          <w:sz w:val="30"/>
          <w:szCs w:val="30"/>
        </w:rPr>
        <w:lastRenderedPageBreak/>
        <w:t>содержащего насыщенные никотином пористые пробки. Никотин высвобождается и всасывается через слизистые оболочки во рту и горле пользователя. Каждого картриджа хватает примерно на 20 минут и доставляет он примерно такое же количест</w:t>
      </w:r>
      <w:r w:rsidR="004C0237">
        <w:rPr>
          <w:bCs/>
          <w:sz w:val="30"/>
          <w:szCs w:val="30"/>
        </w:rPr>
        <w:t>во никотина, как одна сигарета. В</w:t>
      </w:r>
      <w:r w:rsidR="004C0237"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 </w:t>
      </w:r>
      <w:r w:rsidR="008E0A0C">
        <w:rPr>
          <w:bCs/>
          <w:sz w:val="30"/>
          <w:szCs w:val="30"/>
        </w:rPr>
        <w:t xml:space="preserve">товар </w:t>
      </w:r>
      <w:r w:rsidR="004C0237" w:rsidRPr="004C0237">
        <w:rPr>
          <w:bCs/>
          <w:sz w:val="30"/>
          <w:szCs w:val="30"/>
        </w:rPr>
        <w:t>классифицируется в субпозиции 2404 12</w:t>
      </w:r>
      <w:r w:rsidR="004C0237" w:rsidRPr="004C0237">
        <w:rPr>
          <w:sz w:val="30"/>
          <w:szCs w:val="30"/>
        </w:rPr>
        <w:t xml:space="preserve"> 000 </w:t>
      </w:r>
      <w:r w:rsidR="004C0237"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2D7359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8</w:t>
      </w:r>
      <w:r w:rsidR="004C0237" w:rsidRPr="004C0237">
        <w:rPr>
          <w:bCs/>
          <w:sz w:val="30"/>
          <w:szCs w:val="30"/>
        </w:rPr>
        <w:t xml:space="preserve">. Шампунь-гель для мытья детской кожи и волос содержит воду, </w:t>
      </w:r>
      <w:proofErr w:type="spellStart"/>
      <w:r w:rsidR="004C0237" w:rsidRPr="004C0237">
        <w:rPr>
          <w:bCs/>
          <w:sz w:val="30"/>
          <w:szCs w:val="30"/>
        </w:rPr>
        <w:t>лаурет</w:t>
      </w:r>
      <w:proofErr w:type="spellEnd"/>
      <w:r w:rsidR="004C0237" w:rsidRPr="004C0237">
        <w:rPr>
          <w:bCs/>
          <w:sz w:val="30"/>
          <w:szCs w:val="30"/>
        </w:rPr>
        <w:t xml:space="preserve"> сульфат натрия, </w:t>
      </w:r>
      <w:proofErr w:type="spellStart"/>
      <w:r w:rsidR="004C0237" w:rsidRPr="004C0237">
        <w:rPr>
          <w:bCs/>
          <w:sz w:val="30"/>
          <w:szCs w:val="30"/>
        </w:rPr>
        <w:t>кокамидопропил</w:t>
      </w:r>
      <w:proofErr w:type="spellEnd"/>
      <w:r w:rsidR="004C0237" w:rsidRPr="004C0237">
        <w:rPr>
          <w:bCs/>
          <w:sz w:val="30"/>
          <w:szCs w:val="30"/>
        </w:rPr>
        <w:t xml:space="preserve"> бетаин, </w:t>
      </w:r>
      <w:proofErr w:type="spellStart"/>
      <w:r w:rsidR="004C0237" w:rsidRPr="004C0237">
        <w:rPr>
          <w:bCs/>
          <w:sz w:val="30"/>
          <w:szCs w:val="30"/>
        </w:rPr>
        <w:t>кокамид</w:t>
      </w:r>
      <w:proofErr w:type="spellEnd"/>
      <w:r w:rsidR="004C0237" w:rsidRPr="004C0237">
        <w:rPr>
          <w:bCs/>
          <w:sz w:val="30"/>
          <w:szCs w:val="30"/>
        </w:rPr>
        <w:t xml:space="preserve"> ДЭА, Лаурет-6, </w:t>
      </w:r>
      <w:proofErr w:type="spellStart"/>
      <w:r w:rsidR="004C0237" w:rsidRPr="004C0237">
        <w:rPr>
          <w:bCs/>
          <w:sz w:val="30"/>
          <w:szCs w:val="30"/>
        </w:rPr>
        <w:t>динатрийлауретсульфосукцинат</w:t>
      </w:r>
      <w:proofErr w:type="spellEnd"/>
      <w:r w:rsidR="004C0237" w:rsidRPr="004C0237">
        <w:rPr>
          <w:bCs/>
          <w:sz w:val="30"/>
          <w:szCs w:val="30"/>
        </w:rPr>
        <w:t>, хлорид натрия, отдушку, ДМДМ-</w:t>
      </w:r>
      <w:proofErr w:type="spellStart"/>
      <w:r w:rsidR="004C0237" w:rsidRPr="004C0237">
        <w:rPr>
          <w:bCs/>
          <w:sz w:val="30"/>
          <w:szCs w:val="30"/>
        </w:rPr>
        <w:t>гидантоин</w:t>
      </w:r>
      <w:proofErr w:type="spellEnd"/>
      <w:r w:rsidR="004C0237" w:rsidRPr="004C0237">
        <w:rPr>
          <w:bCs/>
          <w:sz w:val="30"/>
          <w:szCs w:val="30"/>
        </w:rPr>
        <w:t xml:space="preserve">, </w:t>
      </w:r>
      <w:proofErr w:type="spellStart"/>
      <w:r w:rsidR="004C0237" w:rsidRPr="004C0237">
        <w:rPr>
          <w:bCs/>
          <w:sz w:val="30"/>
          <w:szCs w:val="30"/>
        </w:rPr>
        <w:t>метилхлоризотиазолинон</w:t>
      </w:r>
      <w:proofErr w:type="spellEnd"/>
      <w:r w:rsidR="004C0237" w:rsidRPr="004C0237">
        <w:rPr>
          <w:bCs/>
          <w:sz w:val="30"/>
          <w:szCs w:val="30"/>
        </w:rPr>
        <w:t xml:space="preserve">, поликватерниум-10, лимонную кислоту, </w:t>
      </w:r>
      <w:proofErr w:type="spellStart"/>
      <w:r w:rsidR="004C0237" w:rsidRPr="004C0237">
        <w:rPr>
          <w:bCs/>
          <w:sz w:val="30"/>
          <w:szCs w:val="30"/>
        </w:rPr>
        <w:t>бутиленгликоль</w:t>
      </w:r>
      <w:proofErr w:type="spellEnd"/>
      <w:r w:rsidR="004C0237" w:rsidRPr="004C0237">
        <w:rPr>
          <w:bCs/>
          <w:sz w:val="30"/>
          <w:szCs w:val="30"/>
        </w:rPr>
        <w:t xml:space="preserve">, экстракт цветков ромашки </w:t>
      </w:r>
      <w:proofErr w:type="spellStart"/>
      <w:r w:rsidR="004C0237" w:rsidRPr="004C0237">
        <w:rPr>
          <w:bCs/>
          <w:sz w:val="30"/>
          <w:szCs w:val="30"/>
        </w:rPr>
        <w:t>рекутиты</w:t>
      </w:r>
      <w:proofErr w:type="spellEnd"/>
      <w:r w:rsidR="004C0237" w:rsidRPr="004C0237">
        <w:rPr>
          <w:bCs/>
          <w:sz w:val="30"/>
          <w:szCs w:val="30"/>
        </w:rPr>
        <w:t xml:space="preserve"> (</w:t>
      </w:r>
      <w:proofErr w:type="spellStart"/>
      <w:r w:rsidR="004C0237" w:rsidRPr="004C0237">
        <w:rPr>
          <w:bCs/>
          <w:sz w:val="30"/>
          <w:szCs w:val="30"/>
        </w:rPr>
        <w:t>Matricaria</w:t>
      </w:r>
      <w:proofErr w:type="spellEnd"/>
      <w:r w:rsidR="004C0237" w:rsidRPr="004C0237">
        <w:rPr>
          <w:bCs/>
          <w:sz w:val="30"/>
          <w:szCs w:val="30"/>
        </w:rPr>
        <w:t>), экстракт хвоща полевого, экстракт листьев шалфея лекарственного, экстракт листьев розмарина лекарственного, экстракт крапивы двудомной (</w:t>
      </w:r>
      <w:proofErr w:type="spellStart"/>
      <w:r w:rsidR="004C0237" w:rsidRPr="004C0237">
        <w:rPr>
          <w:bCs/>
          <w:sz w:val="30"/>
          <w:szCs w:val="30"/>
        </w:rPr>
        <w:t>UrticaDioica</w:t>
      </w:r>
      <w:proofErr w:type="spellEnd"/>
      <w:r w:rsidR="004C0237" w:rsidRPr="004C0237">
        <w:rPr>
          <w:bCs/>
          <w:sz w:val="30"/>
          <w:szCs w:val="30"/>
        </w:rPr>
        <w:t>), экстракт листьев мелиссы лекарственной (мелисса мятная), экстракт хмеля (</w:t>
      </w:r>
      <w:proofErr w:type="spellStart"/>
      <w:r w:rsidR="004C0237" w:rsidRPr="004C0237">
        <w:rPr>
          <w:bCs/>
          <w:sz w:val="30"/>
          <w:szCs w:val="30"/>
        </w:rPr>
        <w:t>HumulusLupulus</w:t>
      </w:r>
      <w:proofErr w:type="spellEnd"/>
      <w:r w:rsidR="004C0237" w:rsidRPr="004C0237">
        <w:rPr>
          <w:bCs/>
          <w:sz w:val="30"/>
          <w:szCs w:val="30"/>
        </w:rPr>
        <w:t xml:space="preserve">). Продукт расфасован во флакон объемом 500 мл для розничной продажи. В соответствии с Основными правилами интерпретации Товарной номенклатуры внешнеэкономической деятельности 1 (примечание 1 (в) к группе 34) и 6 </w:t>
      </w:r>
      <w:r w:rsidR="008E0A0C">
        <w:rPr>
          <w:bCs/>
          <w:sz w:val="30"/>
          <w:szCs w:val="30"/>
        </w:rPr>
        <w:t xml:space="preserve">товар </w:t>
      </w:r>
      <w:r w:rsidR="004C0237" w:rsidRPr="004C0237">
        <w:rPr>
          <w:bCs/>
          <w:sz w:val="30"/>
          <w:szCs w:val="30"/>
        </w:rPr>
        <w:t>классифицируется в субпозиции 3305 10 000 0 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6430D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9</w:t>
      </w:r>
      <w:r w:rsidR="004C0237" w:rsidRPr="004C0237">
        <w:rPr>
          <w:bCs/>
          <w:sz w:val="30"/>
          <w:szCs w:val="30"/>
        </w:rPr>
        <w:t xml:space="preserve">. Шампунь-гель для мытья волос и кожи содержит воду, </w:t>
      </w:r>
      <w:proofErr w:type="spellStart"/>
      <w:r w:rsidR="004C0237" w:rsidRPr="004C0237">
        <w:rPr>
          <w:bCs/>
          <w:sz w:val="30"/>
          <w:szCs w:val="30"/>
        </w:rPr>
        <w:t>лаурилсульфат</w:t>
      </w:r>
      <w:proofErr w:type="spellEnd"/>
      <w:r w:rsidR="004C0237" w:rsidRPr="004C0237">
        <w:rPr>
          <w:bCs/>
          <w:sz w:val="30"/>
          <w:szCs w:val="30"/>
        </w:rPr>
        <w:t xml:space="preserve"> аммония, глицерин, </w:t>
      </w:r>
      <w:proofErr w:type="spellStart"/>
      <w:r w:rsidR="004C0237" w:rsidRPr="004C0237">
        <w:rPr>
          <w:bCs/>
          <w:sz w:val="30"/>
          <w:szCs w:val="30"/>
        </w:rPr>
        <w:t>кокамидопропил</w:t>
      </w:r>
      <w:proofErr w:type="spellEnd"/>
      <w:r w:rsidR="004C0237" w:rsidRPr="004C0237">
        <w:rPr>
          <w:bCs/>
          <w:sz w:val="30"/>
          <w:szCs w:val="30"/>
        </w:rPr>
        <w:t xml:space="preserve"> бетаин, экстракт коры кедра </w:t>
      </w:r>
      <w:proofErr w:type="spellStart"/>
      <w:r w:rsidR="004C0237" w:rsidRPr="004C0237">
        <w:rPr>
          <w:bCs/>
          <w:sz w:val="30"/>
          <w:szCs w:val="30"/>
        </w:rPr>
        <w:t>либани</w:t>
      </w:r>
      <w:proofErr w:type="spellEnd"/>
      <w:r w:rsidR="004C0237" w:rsidRPr="004C0237">
        <w:rPr>
          <w:bCs/>
          <w:sz w:val="30"/>
          <w:szCs w:val="30"/>
        </w:rPr>
        <w:t xml:space="preserve">, сульфат магния, глюконат цинка, </w:t>
      </w:r>
      <w:proofErr w:type="spellStart"/>
      <w:r w:rsidR="004C0237" w:rsidRPr="004C0237">
        <w:rPr>
          <w:bCs/>
          <w:sz w:val="30"/>
          <w:szCs w:val="30"/>
        </w:rPr>
        <w:t>гидроксипропилгуаргидроксипропилтримоний</w:t>
      </w:r>
      <w:proofErr w:type="spellEnd"/>
      <w:r w:rsidR="004C0237" w:rsidRPr="004C0237">
        <w:rPr>
          <w:bCs/>
          <w:sz w:val="30"/>
          <w:szCs w:val="30"/>
        </w:rPr>
        <w:t xml:space="preserve"> хлорид, </w:t>
      </w:r>
      <w:proofErr w:type="spellStart"/>
      <w:r w:rsidR="004C0237" w:rsidRPr="004C0237">
        <w:rPr>
          <w:bCs/>
          <w:sz w:val="30"/>
          <w:szCs w:val="30"/>
        </w:rPr>
        <w:t>бутиленгликоль</w:t>
      </w:r>
      <w:proofErr w:type="spellEnd"/>
      <w:r w:rsidR="004C0237" w:rsidRPr="004C0237">
        <w:rPr>
          <w:bCs/>
          <w:sz w:val="30"/>
          <w:szCs w:val="30"/>
        </w:rPr>
        <w:t xml:space="preserve">, поликватемий-7, хлорид натрия, лимонную кислоту, </w:t>
      </w:r>
      <w:proofErr w:type="spellStart"/>
      <w:r w:rsidR="004C0237" w:rsidRPr="004C0237">
        <w:rPr>
          <w:bCs/>
          <w:sz w:val="30"/>
          <w:szCs w:val="30"/>
        </w:rPr>
        <w:t>бензоат</w:t>
      </w:r>
      <w:proofErr w:type="spellEnd"/>
      <w:r w:rsidR="004C0237" w:rsidRPr="004C0237">
        <w:rPr>
          <w:bCs/>
          <w:sz w:val="30"/>
          <w:szCs w:val="30"/>
        </w:rPr>
        <w:t xml:space="preserve"> натрия, спирт, </w:t>
      </w:r>
      <w:proofErr w:type="spellStart"/>
      <w:r w:rsidR="004C0237" w:rsidRPr="004C0237">
        <w:rPr>
          <w:bCs/>
          <w:sz w:val="30"/>
          <w:szCs w:val="30"/>
        </w:rPr>
        <w:t>бензотриазолилдодецил</w:t>
      </w:r>
      <w:proofErr w:type="spellEnd"/>
      <w:r w:rsidR="004C0237" w:rsidRPr="004C0237">
        <w:rPr>
          <w:bCs/>
          <w:sz w:val="30"/>
          <w:szCs w:val="30"/>
        </w:rPr>
        <w:t xml:space="preserve"> п-крезол, </w:t>
      </w:r>
      <w:proofErr w:type="spellStart"/>
      <w:r w:rsidR="004C0237" w:rsidRPr="004C0237">
        <w:rPr>
          <w:bCs/>
          <w:sz w:val="30"/>
          <w:szCs w:val="30"/>
        </w:rPr>
        <w:t>трис</w:t>
      </w:r>
      <w:proofErr w:type="spellEnd"/>
      <w:r w:rsidR="004C0237" w:rsidRPr="004C0237">
        <w:rPr>
          <w:bCs/>
          <w:sz w:val="30"/>
          <w:szCs w:val="30"/>
        </w:rPr>
        <w:t xml:space="preserve"> (</w:t>
      </w:r>
      <w:proofErr w:type="spellStart"/>
      <w:r w:rsidR="004C0237" w:rsidRPr="004C0237">
        <w:rPr>
          <w:bCs/>
          <w:sz w:val="30"/>
          <w:szCs w:val="30"/>
        </w:rPr>
        <w:t>тетраметилгидроксипиперидинол</w:t>
      </w:r>
      <w:proofErr w:type="spellEnd"/>
      <w:r w:rsidR="004C0237" w:rsidRPr="004C0237">
        <w:rPr>
          <w:bCs/>
          <w:sz w:val="30"/>
          <w:szCs w:val="30"/>
        </w:rPr>
        <w:t xml:space="preserve">) цитрат, духи, </w:t>
      </w:r>
      <w:proofErr w:type="spellStart"/>
      <w:r w:rsidR="004C0237" w:rsidRPr="004C0237">
        <w:rPr>
          <w:bCs/>
          <w:sz w:val="30"/>
          <w:szCs w:val="30"/>
        </w:rPr>
        <w:t>кокамид</w:t>
      </w:r>
      <w:proofErr w:type="spellEnd"/>
      <w:r w:rsidR="004C0237" w:rsidRPr="004C0237">
        <w:rPr>
          <w:bCs/>
          <w:sz w:val="30"/>
          <w:szCs w:val="30"/>
        </w:rPr>
        <w:t xml:space="preserve"> ДЕА, лаурет-6, </w:t>
      </w:r>
      <w:proofErr w:type="spellStart"/>
      <w:r w:rsidR="004C0237" w:rsidRPr="004C0237">
        <w:rPr>
          <w:bCs/>
          <w:sz w:val="30"/>
          <w:szCs w:val="30"/>
        </w:rPr>
        <w:t>динатрийлауретсульфосукцинат</w:t>
      </w:r>
      <w:proofErr w:type="spellEnd"/>
      <w:r w:rsidR="004C0237" w:rsidRPr="004C0237">
        <w:rPr>
          <w:bCs/>
          <w:sz w:val="30"/>
          <w:szCs w:val="30"/>
        </w:rPr>
        <w:t xml:space="preserve">, хлорид натрия, отдушку, </w:t>
      </w:r>
      <w:proofErr w:type="spellStart"/>
      <w:r w:rsidR="004C0237" w:rsidRPr="004C0237">
        <w:rPr>
          <w:bCs/>
          <w:sz w:val="30"/>
          <w:szCs w:val="30"/>
        </w:rPr>
        <w:t>линалоол</w:t>
      </w:r>
      <w:proofErr w:type="spellEnd"/>
      <w:r w:rsidR="004C0237" w:rsidRPr="004C0237">
        <w:rPr>
          <w:bCs/>
          <w:sz w:val="30"/>
          <w:szCs w:val="30"/>
        </w:rPr>
        <w:t>, кумарин, альфа-</w:t>
      </w:r>
      <w:proofErr w:type="spellStart"/>
      <w:r w:rsidR="004C0237" w:rsidRPr="004C0237">
        <w:rPr>
          <w:bCs/>
          <w:sz w:val="30"/>
          <w:szCs w:val="30"/>
        </w:rPr>
        <w:t>лсометиллонон</w:t>
      </w:r>
      <w:proofErr w:type="spellEnd"/>
      <w:r w:rsidR="004C0237" w:rsidRPr="004C0237">
        <w:rPr>
          <w:bCs/>
          <w:sz w:val="30"/>
          <w:szCs w:val="30"/>
        </w:rPr>
        <w:t xml:space="preserve">, </w:t>
      </w:r>
      <w:proofErr w:type="spellStart"/>
      <w:r w:rsidR="004C0237" w:rsidRPr="004C0237">
        <w:rPr>
          <w:bCs/>
          <w:sz w:val="30"/>
          <w:szCs w:val="30"/>
        </w:rPr>
        <w:t>гидроксицитронеллал</w:t>
      </w:r>
      <w:proofErr w:type="spellEnd"/>
      <w:r w:rsidR="004C0237" w:rsidRPr="004C0237">
        <w:rPr>
          <w:bCs/>
          <w:sz w:val="30"/>
          <w:szCs w:val="30"/>
        </w:rPr>
        <w:t xml:space="preserve">, </w:t>
      </w:r>
      <w:proofErr w:type="spellStart"/>
      <w:r w:rsidR="004C0237" w:rsidRPr="004C0237">
        <w:rPr>
          <w:bCs/>
          <w:sz w:val="30"/>
          <w:szCs w:val="30"/>
        </w:rPr>
        <w:t>бутилфенилмет</w:t>
      </w:r>
      <w:r w:rsidR="00527C14">
        <w:rPr>
          <w:bCs/>
          <w:sz w:val="30"/>
          <w:szCs w:val="30"/>
        </w:rPr>
        <w:t>илпропионал</w:t>
      </w:r>
      <w:proofErr w:type="spellEnd"/>
      <w:r w:rsidR="00527C14">
        <w:rPr>
          <w:bCs/>
          <w:sz w:val="30"/>
          <w:szCs w:val="30"/>
        </w:rPr>
        <w:t xml:space="preserve">. Продукт расфасован </w:t>
      </w:r>
      <w:r w:rsidR="004C0237" w:rsidRPr="004C0237">
        <w:rPr>
          <w:bCs/>
          <w:sz w:val="30"/>
          <w:szCs w:val="30"/>
        </w:rPr>
        <w:t>во флакон объемом</w:t>
      </w:r>
      <w:r w:rsidR="000F58AB">
        <w:rPr>
          <w:bCs/>
          <w:sz w:val="30"/>
          <w:szCs w:val="30"/>
        </w:rPr>
        <w:t xml:space="preserve"> 250 мл для розничной продажи. </w:t>
      </w:r>
      <w:r w:rsidR="004C0237" w:rsidRPr="004C0237">
        <w:rPr>
          <w:bCs/>
          <w:sz w:val="30"/>
          <w:szCs w:val="30"/>
        </w:rPr>
        <w:t>В соответствии с Основными правилами интерпретации Товарной номенклатуры внешнеэкономической деятельности 1 (примечание 1 (в) к группе 34) и 6</w:t>
      </w:r>
      <w:r w:rsidR="008E0A0C">
        <w:rPr>
          <w:bCs/>
          <w:sz w:val="30"/>
          <w:szCs w:val="30"/>
        </w:rPr>
        <w:t xml:space="preserve"> товар</w:t>
      </w:r>
      <w:r w:rsidR="004C0237" w:rsidRPr="004C0237">
        <w:rPr>
          <w:bCs/>
          <w:sz w:val="30"/>
          <w:szCs w:val="30"/>
        </w:rPr>
        <w:t xml:space="preserve"> классифицируется в субпозиции 3305 10 000 0 единой Товарной номенклатуры внешнеэкономической деятельности Евразийского экономического союза.</w:t>
      </w:r>
    </w:p>
    <w:p w:rsidR="004C0237" w:rsidRPr="004C0237" w:rsidRDefault="0046430D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10</w:t>
      </w:r>
      <w:r w:rsidR="004C0237" w:rsidRPr="004C0237">
        <w:rPr>
          <w:bCs/>
          <w:sz w:val="30"/>
          <w:szCs w:val="30"/>
        </w:rPr>
        <w:t xml:space="preserve">. Трехслойные листы, состоящие из двух наружных слоев пластмассы и среднего слоя из тонкой алюминиевой фольги. Каждый слой прикреплен к соседнему слою с помощью клея. Пластмасса не пористая. Листы представлены в рулонах и используются для изготовления гибких </w:t>
      </w:r>
      <w:r w:rsidR="004C0237" w:rsidRPr="004C0237">
        <w:rPr>
          <w:bCs/>
          <w:sz w:val="30"/>
          <w:szCs w:val="30"/>
        </w:rPr>
        <w:lastRenderedPageBreak/>
        <w:t>контейнеров (саше) для пищевых продуктов, таких как соус-приправы. На одном слое пластмассы печатается изображение и информация о пищевом продукте, в то время как другой пластмассовый слой, контактирующий с продуктом питания, прозрачный</w:t>
      </w:r>
      <w:r w:rsidR="008E0A0C">
        <w:rPr>
          <w:bCs/>
          <w:sz w:val="30"/>
          <w:szCs w:val="30"/>
        </w:rPr>
        <w:t>. В</w:t>
      </w:r>
      <w:r w:rsidR="004C0237"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</w:t>
      </w:r>
      <w:r>
        <w:rPr>
          <w:bCs/>
          <w:sz w:val="30"/>
          <w:szCs w:val="30"/>
        </w:rPr>
        <w:t xml:space="preserve"> </w:t>
      </w:r>
      <w:r w:rsidR="008E0A0C">
        <w:rPr>
          <w:bCs/>
          <w:sz w:val="30"/>
          <w:szCs w:val="30"/>
        </w:rPr>
        <w:t xml:space="preserve">товар </w:t>
      </w:r>
      <w:r w:rsidR="00527C14">
        <w:rPr>
          <w:bCs/>
          <w:sz w:val="30"/>
          <w:szCs w:val="30"/>
        </w:rPr>
        <w:t xml:space="preserve">классифицируется в субпозиции </w:t>
      </w:r>
      <w:r w:rsidR="004C0237" w:rsidRPr="004C0237">
        <w:rPr>
          <w:bCs/>
          <w:sz w:val="30"/>
          <w:szCs w:val="30"/>
        </w:rPr>
        <w:t>3921 90</w:t>
      </w:r>
      <w:r>
        <w:rPr>
          <w:bCs/>
          <w:sz w:val="30"/>
          <w:szCs w:val="30"/>
        </w:rPr>
        <w:t xml:space="preserve"> </w:t>
      </w:r>
      <w:r w:rsidR="004C0237"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4C0237" w:rsidRPr="00721789" w:rsidRDefault="0046430D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11</w:t>
      </w:r>
      <w:r w:rsidR="004C0237" w:rsidRPr="004C0237">
        <w:rPr>
          <w:bCs/>
          <w:sz w:val="30"/>
          <w:szCs w:val="30"/>
        </w:rPr>
        <w:t>. Весла двойного назначения (Рис. 5), используемые</w:t>
      </w:r>
      <w:r w:rsidR="000F58AB">
        <w:rPr>
          <w:bCs/>
          <w:sz w:val="30"/>
          <w:szCs w:val="30"/>
        </w:rPr>
        <w:t xml:space="preserve"> для плавания </w:t>
      </w:r>
      <w:r w:rsidR="004C0237" w:rsidRPr="004C0237">
        <w:rPr>
          <w:bCs/>
          <w:sz w:val="30"/>
          <w:szCs w:val="30"/>
        </w:rPr>
        <w:t>на байдарках и серфинга с веслом (</w:t>
      </w:r>
      <w:r w:rsidR="004C0237" w:rsidRPr="004C0237">
        <w:rPr>
          <w:bCs/>
          <w:sz w:val="30"/>
          <w:szCs w:val="30"/>
          <w:lang w:bidi="en-US"/>
        </w:rPr>
        <w:t>SUP</w:t>
      </w:r>
      <w:r w:rsidR="004C0237" w:rsidRPr="004C0237">
        <w:rPr>
          <w:bCs/>
          <w:sz w:val="30"/>
          <w:szCs w:val="30"/>
        </w:rPr>
        <w:t xml:space="preserve"> серфинга), состоящие из трех частей, изготовленных из пластмассы: два разъединяемых весла и одна рукоятка. Можно использовать </w:t>
      </w:r>
      <w:r w:rsidR="0096006D">
        <w:rPr>
          <w:bCs/>
          <w:sz w:val="30"/>
          <w:szCs w:val="30"/>
        </w:rPr>
        <w:t xml:space="preserve">с одной пластиной </w:t>
      </w:r>
      <w:r w:rsidR="004C0237" w:rsidRPr="004C0237">
        <w:rPr>
          <w:bCs/>
          <w:sz w:val="30"/>
          <w:szCs w:val="30"/>
          <w:lang w:bidi="en-US"/>
        </w:rPr>
        <w:t>SUP</w:t>
      </w:r>
      <w:r w:rsidR="004C0237" w:rsidRPr="004C0237">
        <w:rPr>
          <w:bCs/>
          <w:sz w:val="30"/>
          <w:szCs w:val="30"/>
        </w:rPr>
        <w:t xml:space="preserve"> серфинга, а также можно преобразовать в весло с двумя пластинами и использовать для</w:t>
      </w:r>
      <w:r w:rsidR="004C0237">
        <w:rPr>
          <w:bCs/>
          <w:sz w:val="30"/>
          <w:szCs w:val="30"/>
        </w:rPr>
        <w:t xml:space="preserve"> плавания на байдарках.</w:t>
      </w:r>
      <w:r>
        <w:rPr>
          <w:bCs/>
          <w:sz w:val="30"/>
          <w:szCs w:val="30"/>
        </w:rPr>
        <w:t xml:space="preserve"> </w:t>
      </w:r>
      <w:r w:rsidR="004C0237">
        <w:rPr>
          <w:bCs/>
          <w:sz w:val="30"/>
          <w:szCs w:val="30"/>
        </w:rPr>
        <w:t>В</w:t>
      </w:r>
      <w:r w:rsidR="004C0237"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</w:t>
      </w:r>
      <w:r>
        <w:rPr>
          <w:bCs/>
          <w:sz w:val="30"/>
          <w:szCs w:val="30"/>
        </w:rPr>
        <w:t xml:space="preserve"> </w:t>
      </w:r>
      <w:r w:rsidR="008E0A0C">
        <w:rPr>
          <w:bCs/>
          <w:sz w:val="30"/>
          <w:szCs w:val="30"/>
        </w:rPr>
        <w:t xml:space="preserve">товар </w:t>
      </w:r>
      <w:r w:rsidR="00527C14">
        <w:rPr>
          <w:bCs/>
          <w:sz w:val="30"/>
          <w:szCs w:val="30"/>
        </w:rPr>
        <w:t xml:space="preserve">классифицируется в субпозиции </w:t>
      </w:r>
      <w:r w:rsidR="004C0237" w:rsidRPr="004C0237">
        <w:rPr>
          <w:bCs/>
          <w:sz w:val="30"/>
          <w:szCs w:val="30"/>
        </w:rPr>
        <w:t>3926 90</w:t>
      </w:r>
      <w:r>
        <w:rPr>
          <w:bCs/>
          <w:sz w:val="30"/>
          <w:szCs w:val="30"/>
        </w:rPr>
        <w:t xml:space="preserve"> </w:t>
      </w:r>
      <w:r w:rsidR="004C0237"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797594" w:rsidRPr="00721789" w:rsidRDefault="00797594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noProof/>
          <w:sz w:val="30"/>
          <w:szCs w:val="30"/>
        </w:rPr>
        <w:drawing>
          <wp:inline distT="0" distB="0" distL="0" distR="0">
            <wp:extent cx="3267075" cy="1019175"/>
            <wp:effectExtent l="0" t="0" r="9525" b="9525"/>
            <wp:docPr id="15" name="Рисунок 15" descr="SUP_Paddl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_Paddle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sz w:val="30"/>
          <w:szCs w:val="30"/>
        </w:rPr>
        <w:object w:dxaOrig="12208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71.25pt" o:ole="">
            <v:imagedata r:id="rId13" o:title=""/>
          </v:shape>
          <o:OLEObject Type="Embed" ProgID="PBrush" ShapeID="_x0000_i1025" DrawAspect="Content" ObjectID="_1772280760" r:id="rId14"/>
        </w:objec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sz w:val="30"/>
          <w:szCs w:val="30"/>
        </w:rPr>
        <w:object w:dxaOrig="8249" w:dyaOrig="2505">
          <v:shape id="_x0000_i1026" type="#_x0000_t75" style="width:227.25pt;height:69pt" o:ole="">
            <v:imagedata r:id="rId15" o:title=""/>
          </v:shape>
          <o:OLEObject Type="Embed" ProgID="PBrush" ShapeID="_x0000_i1026" DrawAspect="Content" ObjectID="_1772280761" r:id="rId16"/>
        </w:objec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C0237">
        <w:rPr>
          <w:sz w:val="30"/>
          <w:szCs w:val="30"/>
        </w:rPr>
        <w:t>Рис. 5</w:t>
      </w:r>
    </w:p>
    <w:p w:rsidR="004C0237" w:rsidRPr="004C0237" w:rsidRDefault="004C0237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</w:t>
      </w:r>
      <w:r w:rsidR="0046430D">
        <w:rPr>
          <w:bCs/>
          <w:sz w:val="30"/>
          <w:szCs w:val="30"/>
        </w:rPr>
        <w:t>2</w:t>
      </w:r>
      <w:r w:rsidRPr="004C0237">
        <w:rPr>
          <w:bCs/>
          <w:sz w:val="30"/>
          <w:szCs w:val="30"/>
        </w:rPr>
        <w:t>. </w:t>
      </w:r>
      <w:proofErr w:type="spellStart"/>
      <w:r w:rsidRPr="004C0237">
        <w:rPr>
          <w:bCs/>
          <w:sz w:val="30"/>
          <w:szCs w:val="30"/>
        </w:rPr>
        <w:t>Турбовальный</w:t>
      </w:r>
      <w:proofErr w:type="spellEnd"/>
      <w:r w:rsidRPr="004C0237">
        <w:rPr>
          <w:bCs/>
          <w:sz w:val="30"/>
          <w:szCs w:val="30"/>
        </w:rPr>
        <w:t xml:space="preserve"> двигатель для вертолета, состоящий из компрессора, камеры сгорания, компрессорной турбины и свободной турбины, оснащенной прив</w:t>
      </w:r>
      <w:r>
        <w:rPr>
          <w:bCs/>
          <w:sz w:val="30"/>
          <w:szCs w:val="30"/>
        </w:rPr>
        <w:t>одным валом, мощностью 1600 кВт</w:t>
      </w:r>
      <w:r w:rsidR="008E0A0C">
        <w:rPr>
          <w:bCs/>
          <w:sz w:val="30"/>
          <w:szCs w:val="30"/>
        </w:rPr>
        <w:t>, в</w:t>
      </w:r>
      <w:r w:rsidRPr="004C0237">
        <w:rPr>
          <w:bCs/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6 классифицируется в субпозиции 8411 81</w:t>
      </w:r>
      <w:r w:rsidR="0046430D">
        <w:rPr>
          <w:bCs/>
          <w:sz w:val="30"/>
          <w:szCs w:val="30"/>
        </w:rPr>
        <w:t> </w:t>
      </w:r>
      <w:r w:rsidRPr="004C0237">
        <w:rPr>
          <w:bCs/>
          <w:sz w:val="30"/>
          <w:szCs w:val="30"/>
        </w:rPr>
        <w:t>000</w:t>
      </w:r>
      <w:r w:rsidR="0046430D">
        <w:rPr>
          <w:bCs/>
          <w:sz w:val="30"/>
          <w:szCs w:val="30"/>
        </w:rPr>
        <w:t xml:space="preserve"> </w:t>
      </w:r>
      <w:r w:rsidRPr="004C0237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D261CF" w:rsidRPr="002D7359" w:rsidRDefault="004C0237" w:rsidP="004C023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1</w:t>
      </w:r>
      <w:r w:rsidR="0046430D">
        <w:rPr>
          <w:bCs/>
          <w:sz w:val="30"/>
          <w:szCs w:val="30"/>
        </w:rPr>
        <w:t>3</w:t>
      </w:r>
      <w:r w:rsidRPr="004C0237">
        <w:rPr>
          <w:bCs/>
          <w:sz w:val="30"/>
          <w:szCs w:val="30"/>
        </w:rPr>
        <w:t>. Летающая надувная лодка со встроенным двигателем</w:t>
      </w:r>
      <w:r w:rsidR="0041399D">
        <w:rPr>
          <w:bCs/>
          <w:sz w:val="30"/>
          <w:szCs w:val="30"/>
        </w:rPr>
        <w:t xml:space="preserve"> (Рис. 6)</w:t>
      </w:r>
      <w:r w:rsidRPr="004C0237">
        <w:rPr>
          <w:bCs/>
          <w:sz w:val="30"/>
          <w:szCs w:val="30"/>
        </w:rPr>
        <w:t>, полужестким корпусом, площадью крыла 19 м</w:t>
      </w:r>
      <w:r w:rsidRPr="004C0237">
        <w:rPr>
          <w:bCs/>
          <w:sz w:val="30"/>
          <w:szCs w:val="30"/>
          <w:vertAlign w:val="superscript"/>
        </w:rPr>
        <w:t>2</w:t>
      </w:r>
      <w:r w:rsidRPr="004C0237">
        <w:rPr>
          <w:bCs/>
          <w:sz w:val="30"/>
          <w:szCs w:val="30"/>
        </w:rPr>
        <w:t xml:space="preserve"> и пропеллером, позволяющим транспортному средству взлететь с поверхности воды. Изделие имеет следующие характеристики: двухцилиндровый, 2-тактный двигатель; двухместная кабина-тандем; масса в неснаряженном состоянии: 216 кг; максимальная полная масса: 406 кг; скорость сваливания: 48 км/ч; крейсерская скорость: 70 км/ч; максимальная скорость: 80 км/ч; размах крыла: 11,15 м; площадь крыла: 19,6 м</w:t>
      </w:r>
      <w:r w:rsidRPr="004C0237">
        <w:rPr>
          <w:bCs/>
          <w:sz w:val="30"/>
          <w:szCs w:val="30"/>
          <w:vertAlign w:val="superscript"/>
        </w:rPr>
        <w:t>2</w:t>
      </w:r>
      <w:r w:rsidRPr="004C0237">
        <w:rPr>
          <w:bCs/>
          <w:sz w:val="30"/>
          <w:szCs w:val="30"/>
        </w:rPr>
        <w:t>. В соответствии с Основными правилами интерпретации Товарной номенклатуры внешнеэкономической деятельности 1 и 6</w:t>
      </w:r>
      <w:r w:rsidR="008E0A0C">
        <w:rPr>
          <w:bCs/>
          <w:sz w:val="30"/>
          <w:szCs w:val="30"/>
        </w:rPr>
        <w:t xml:space="preserve"> товар</w:t>
      </w:r>
      <w:r>
        <w:rPr>
          <w:bCs/>
          <w:sz w:val="30"/>
          <w:szCs w:val="30"/>
        </w:rPr>
        <w:t xml:space="preserve"> классифицируется в субпозиции </w:t>
      </w:r>
      <w:r w:rsidRPr="004C0237">
        <w:rPr>
          <w:bCs/>
          <w:sz w:val="30"/>
          <w:szCs w:val="30"/>
        </w:rPr>
        <w:t>8802 20 000 единой Товарной номенклатуры внешнеэкономической деятельности Евразийского экономического союза.</w:t>
      </w:r>
    </w:p>
    <w:p w:rsidR="009176BA" w:rsidRPr="002D7359" w:rsidRDefault="009176BA" w:rsidP="0046430D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41399D" w:rsidRDefault="0041399D" w:rsidP="0041399D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1399D">
        <w:rPr>
          <w:noProof/>
          <w:sz w:val="30"/>
          <w:szCs w:val="30"/>
        </w:rPr>
        <w:drawing>
          <wp:inline distT="0" distB="0" distL="0" distR="0">
            <wp:extent cx="3563370" cy="2372264"/>
            <wp:effectExtent l="0" t="0" r="0" b="0"/>
            <wp:docPr id="1" name="Рисунок 1" descr="C:\Users\polyanskiyar\Desktop\shark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yanskiyar\Desktop\shark_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08" cy="24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BA" w:rsidRPr="002D7359" w:rsidRDefault="0041399D" w:rsidP="0046430D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Рис. 6</w:t>
      </w:r>
    </w:p>
    <w:p w:rsidR="0046430D" w:rsidRDefault="0046430D" w:rsidP="00DE7D8C">
      <w:pPr>
        <w:pStyle w:val="a3"/>
        <w:spacing w:line="240" w:lineRule="auto"/>
        <w:ind w:firstLine="737"/>
        <w:rPr>
          <w:sz w:val="30"/>
          <w:szCs w:val="30"/>
        </w:rPr>
      </w:pPr>
    </w:p>
    <w:p w:rsidR="00F559BD" w:rsidRPr="0046430D" w:rsidRDefault="008B5F21" w:rsidP="00DE7D8C">
      <w:pPr>
        <w:pStyle w:val="a3"/>
        <w:spacing w:line="240" w:lineRule="auto"/>
        <w:ind w:firstLine="737"/>
        <w:rPr>
          <w:sz w:val="30"/>
          <w:szCs w:val="30"/>
        </w:rPr>
      </w:pPr>
      <w:r w:rsidRPr="0046430D">
        <w:rPr>
          <w:sz w:val="30"/>
          <w:szCs w:val="30"/>
        </w:rPr>
        <w:t xml:space="preserve">С целью единообразного применения единой Товарной номенклатуры внешнеэкономической деятельности </w:t>
      </w:r>
      <w:r w:rsidR="005057D3" w:rsidRPr="0046430D">
        <w:rPr>
          <w:sz w:val="30"/>
          <w:szCs w:val="30"/>
        </w:rPr>
        <w:t xml:space="preserve">Евразийского экономического </w:t>
      </w:r>
      <w:r w:rsidRPr="0046430D">
        <w:rPr>
          <w:sz w:val="30"/>
          <w:szCs w:val="30"/>
        </w:rPr>
        <w:t>союза начальникам таможен необходимо обеспечить доведение содержания настоящего письма до личного состава таможен</w:t>
      </w:r>
      <w:r w:rsidR="007C73FF" w:rsidRPr="0046430D">
        <w:rPr>
          <w:sz w:val="30"/>
          <w:szCs w:val="30"/>
        </w:rPr>
        <w:t xml:space="preserve"> по компетенции</w:t>
      </w:r>
      <w:r w:rsidR="00F559BD" w:rsidRPr="0046430D">
        <w:rPr>
          <w:sz w:val="30"/>
          <w:szCs w:val="30"/>
        </w:rPr>
        <w:t>.</w:t>
      </w:r>
    </w:p>
    <w:p w:rsidR="00F559BD" w:rsidRPr="0046430D" w:rsidRDefault="008B5F21" w:rsidP="00F559BD">
      <w:pPr>
        <w:pStyle w:val="a3"/>
        <w:spacing w:line="240" w:lineRule="auto"/>
        <w:ind w:firstLine="737"/>
        <w:rPr>
          <w:sz w:val="30"/>
          <w:szCs w:val="30"/>
        </w:rPr>
      </w:pPr>
      <w:r w:rsidRPr="0046430D">
        <w:rPr>
          <w:sz w:val="30"/>
          <w:szCs w:val="30"/>
        </w:rPr>
        <w:t>РУП «</w:t>
      </w:r>
      <w:proofErr w:type="spellStart"/>
      <w:r w:rsidRPr="0046430D">
        <w:rPr>
          <w:sz w:val="30"/>
          <w:szCs w:val="30"/>
        </w:rPr>
        <w:t>Белтаможсервис</w:t>
      </w:r>
      <w:proofErr w:type="spellEnd"/>
      <w:r w:rsidRPr="0046430D">
        <w:rPr>
          <w:sz w:val="30"/>
          <w:szCs w:val="30"/>
        </w:rPr>
        <w:t xml:space="preserve">» обеспечить опубликование настоящего </w:t>
      </w:r>
      <w:r w:rsidR="00172CB0" w:rsidRPr="0046430D">
        <w:rPr>
          <w:sz w:val="30"/>
          <w:szCs w:val="30"/>
        </w:rPr>
        <w:t>разъяснения</w:t>
      </w:r>
      <w:r w:rsidRPr="0046430D">
        <w:rPr>
          <w:sz w:val="30"/>
          <w:szCs w:val="30"/>
        </w:rPr>
        <w:t xml:space="preserve"> в </w:t>
      </w:r>
      <w:r w:rsidR="00B5760E" w:rsidRPr="0046430D">
        <w:rPr>
          <w:sz w:val="30"/>
          <w:szCs w:val="30"/>
        </w:rPr>
        <w:t>журнале «Таможенный вестник»</w:t>
      </w:r>
      <w:r w:rsidRPr="0046430D">
        <w:rPr>
          <w:sz w:val="30"/>
          <w:szCs w:val="30"/>
        </w:rPr>
        <w:t xml:space="preserve">. </w:t>
      </w:r>
    </w:p>
    <w:p w:rsidR="00F559BD" w:rsidRPr="0046430D" w:rsidRDefault="00F559BD" w:rsidP="00F559BD">
      <w:pPr>
        <w:pStyle w:val="a3"/>
        <w:spacing w:line="240" w:lineRule="auto"/>
        <w:rPr>
          <w:sz w:val="30"/>
          <w:szCs w:val="30"/>
        </w:rPr>
      </w:pPr>
    </w:p>
    <w:p w:rsidR="00137F4A" w:rsidRDefault="00A620C6" w:rsidP="00A0515B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Первый з</w:t>
      </w:r>
      <w:r w:rsidR="00ED639E" w:rsidRPr="00A0515B">
        <w:rPr>
          <w:sz w:val="30"/>
          <w:szCs w:val="30"/>
        </w:rPr>
        <w:t>аместитель</w:t>
      </w:r>
      <w:r w:rsidR="0046430D">
        <w:rPr>
          <w:sz w:val="30"/>
          <w:szCs w:val="30"/>
        </w:rPr>
        <w:t xml:space="preserve"> </w:t>
      </w:r>
      <w:r w:rsidR="00ED639E" w:rsidRPr="00A0515B">
        <w:rPr>
          <w:sz w:val="30"/>
          <w:szCs w:val="30"/>
        </w:rPr>
        <w:t>Председателя</w:t>
      </w:r>
      <w:r w:rsidR="00ED639E" w:rsidRPr="00A0515B">
        <w:rPr>
          <w:sz w:val="30"/>
          <w:szCs w:val="30"/>
        </w:rPr>
        <w:tab/>
      </w:r>
      <w:r w:rsidR="00755F87" w:rsidRPr="00755F87">
        <w:rPr>
          <w:sz w:val="30"/>
          <w:szCs w:val="30"/>
        </w:rPr>
        <w:tab/>
      </w:r>
      <w:r w:rsidR="00755F87" w:rsidRPr="00755F87">
        <w:rPr>
          <w:sz w:val="30"/>
          <w:szCs w:val="30"/>
        </w:rPr>
        <w:tab/>
      </w:r>
      <w:r w:rsidR="00755F87" w:rsidRPr="00755F87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</w:t>
      </w:r>
      <w:r w:rsidR="00ED639E" w:rsidRPr="00A0515B">
        <w:rPr>
          <w:sz w:val="30"/>
          <w:szCs w:val="30"/>
        </w:rPr>
        <w:t>.</w:t>
      </w:r>
      <w:r w:rsidR="00322F12">
        <w:rPr>
          <w:sz w:val="30"/>
          <w:szCs w:val="30"/>
        </w:rPr>
        <w:t>А</w:t>
      </w:r>
      <w:r w:rsidR="0022615E">
        <w:rPr>
          <w:sz w:val="30"/>
          <w:szCs w:val="30"/>
        </w:rPr>
        <w:t>.</w:t>
      </w:r>
      <w:r>
        <w:rPr>
          <w:sz w:val="30"/>
          <w:szCs w:val="30"/>
        </w:rPr>
        <w:t>Валиев</w:t>
      </w:r>
      <w:proofErr w:type="spellEnd"/>
    </w:p>
    <w:p w:rsidR="00061040" w:rsidRPr="0041399D" w:rsidRDefault="00061040" w:rsidP="00A0515B">
      <w:pPr>
        <w:pStyle w:val="a3"/>
        <w:spacing w:line="240" w:lineRule="auto"/>
        <w:rPr>
          <w:sz w:val="30"/>
          <w:szCs w:val="30"/>
        </w:rPr>
      </w:pPr>
    </w:p>
    <w:p w:rsidR="00755F87" w:rsidRPr="0041399D" w:rsidRDefault="00755F87" w:rsidP="00A0515B">
      <w:pPr>
        <w:pStyle w:val="a3"/>
        <w:spacing w:line="240" w:lineRule="auto"/>
        <w:rPr>
          <w:sz w:val="30"/>
          <w:szCs w:val="30"/>
        </w:rPr>
      </w:pPr>
    </w:p>
    <w:p w:rsidR="00755F87" w:rsidRDefault="00755F87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41399D" w:rsidRPr="0041399D" w:rsidRDefault="0041399D" w:rsidP="00A0515B">
      <w:pPr>
        <w:pStyle w:val="a3"/>
        <w:spacing w:line="240" w:lineRule="auto"/>
        <w:rPr>
          <w:sz w:val="30"/>
          <w:szCs w:val="30"/>
        </w:rPr>
      </w:pPr>
    </w:p>
    <w:p w:rsidR="00755F87" w:rsidRPr="0041399D" w:rsidRDefault="00755F87" w:rsidP="00A0515B">
      <w:pPr>
        <w:pStyle w:val="a3"/>
        <w:spacing w:line="240" w:lineRule="auto"/>
        <w:rPr>
          <w:sz w:val="30"/>
          <w:szCs w:val="30"/>
        </w:rPr>
      </w:pPr>
    </w:p>
    <w:p w:rsidR="00ED505D" w:rsidRPr="00F06C58" w:rsidRDefault="00ED505D" w:rsidP="00ED505D">
      <w:pPr>
        <w:pStyle w:val="3"/>
        <w:rPr>
          <w:sz w:val="18"/>
          <w:szCs w:val="18"/>
        </w:rPr>
      </w:pPr>
      <w:r w:rsidRPr="00F06C58">
        <w:rPr>
          <w:sz w:val="18"/>
          <w:szCs w:val="18"/>
        </w:rPr>
        <w:t xml:space="preserve">08 </w:t>
      </w:r>
      <w:r w:rsidR="00F559BD">
        <w:rPr>
          <w:sz w:val="18"/>
          <w:szCs w:val="18"/>
        </w:rPr>
        <w:t>Полянский</w:t>
      </w:r>
      <w:r w:rsidRPr="00F06C58">
        <w:rPr>
          <w:sz w:val="18"/>
          <w:szCs w:val="18"/>
        </w:rPr>
        <w:t xml:space="preserve"> 218 9</w:t>
      </w:r>
      <w:r w:rsidR="00F06C58" w:rsidRPr="00F06C58">
        <w:rPr>
          <w:sz w:val="18"/>
          <w:szCs w:val="18"/>
        </w:rPr>
        <w:t>0</w:t>
      </w:r>
      <w:r w:rsidR="00FD0BFD">
        <w:rPr>
          <w:sz w:val="18"/>
          <w:szCs w:val="18"/>
        </w:rPr>
        <w:t xml:space="preserve"> </w:t>
      </w:r>
      <w:r w:rsidR="00F06C58" w:rsidRPr="00F06C58">
        <w:rPr>
          <w:sz w:val="18"/>
          <w:szCs w:val="18"/>
        </w:rPr>
        <w:t>90</w:t>
      </w:r>
    </w:p>
    <w:sectPr w:rsidR="00ED505D" w:rsidRPr="00F06C58" w:rsidSect="0046430D">
      <w:headerReference w:type="even" r:id="rId18"/>
      <w:headerReference w:type="default" r:id="rId19"/>
      <w:pgSz w:w="11906" w:h="16838"/>
      <w:pgMar w:top="993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11" w:rsidRDefault="00F23011">
      <w:r>
        <w:separator/>
      </w:r>
    </w:p>
  </w:endnote>
  <w:endnote w:type="continuationSeparator" w:id="0">
    <w:p w:rsidR="00F23011" w:rsidRDefault="00F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11" w:rsidRDefault="00F23011">
      <w:r>
        <w:separator/>
      </w:r>
    </w:p>
  </w:footnote>
  <w:footnote w:type="continuationSeparator" w:id="0">
    <w:p w:rsidR="00F23011" w:rsidRDefault="00F2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A0D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A0D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5E37">
      <w:rPr>
        <w:rStyle w:val="a7"/>
        <w:noProof/>
      </w:rPr>
      <w:t>7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00793"/>
    <w:rsid w:val="00004B23"/>
    <w:rsid w:val="00005865"/>
    <w:rsid w:val="00012917"/>
    <w:rsid w:val="00016437"/>
    <w:rsid w:val="00017859"/>
    <w:rsid w:val="00041819"/>
    <w:rsid w:val="00044155"/>
    <w:rsid w:val="00044413"/>
    <w:rsid w:val="000467E8"/>
    <w:rsid w:val="00047193"/>
    <w:rsid w:val="000575EC"/>
    <w:rsid w:val="00061040"/>
    <w:rsid w:val="0006262B"/>
    <w:rsid w:val="00065679"/>
    <w:rsid w:val="0006639B"/>
    <w:rsid w:val="00067239"/>
    <w:rsid w:val="0007504D"/>
    <w:rsid w:val="00084C07"/>
    <w:rsid w:val="00094609"/>
    <w:rsid w:val="000A6980"/>
    <w:rsid w:val="000A7012"/>
    <w:rsid w:val="000B52AF"/>
    <w:rsid w:val="000B784B"/>
    <w:rsid w:val="000C193F"/>
    <w:rsid w:val="000C679F"/>
    <w:rsid w:val="000D387B"/>
    <w:rsid w:val="000D7CEC"/>
    <w:rsid w:val="000E2B84"/>
    <w:rsid w:val="000E79F0"/>
    <w:rsid w:val="000F3D3C"/>
    <w:rsid w:val="000F58AB"/>
    <w:rsid w:val="00105126"/>
    <w:rsid w:val="00105CC2"/>
    <w:rsid w:val="00120009"/>
    <w:rsid w:val="00127EAD"/>
    <w:rsid w:val="0013499D"/>
    <w:rsid w:val="00137F4A"/>
    <w:rsid w:val="00147DCF"/>
    <w:rsid w:val="001535B3"/>
    <w:rsid w:val="00153776"/>
    <w:rsid w:val="0015757D"/>
    <w:rsid w:val="00172CB0"/>
    <w:rsid w:val="001816EA"/>
    <w:rsid w:val="001911DB"/>
    <w:rsid w:val="00193F90"/>
    <w:rsid w:val="001A0CE0"/>
    <w:rsid w:val="001A3730"/>
    <w:rsid w:val="001A45F3"/>
    <w:rsid w:val="001A67ED"/>
    <w:rsid w:val="001A7DBA"/>
    <w:rsid w:val="001B08BE"/>
    <w:rsid w:val="001B3A41"/>
    <w:rsid w:val="001D0542"/>
    <w:rsid w:val="001D4106"/>
    <w:rsid w:val="001D7AE0"/>
    <w:rsid w:val="001E6223"/>
    <w:rsid w:val="001F7BB8"/>
    <w:rsid w:val="00200A5E"/>
    <w:rsid w:val="002057F2"/>
    <w:rsid w:val="002100F3"/>
    <w:rsid w:val="00211A5D"/>
    <w:rsid w:val="00214249"/>
    <w:rsid w:val="002142C0"/>
    <w:rsid w:val="00225CBB"/>
    <w:rsid w:val="0022615E"/>
    <w:rsid w:val="00231319"/>
    <w:rsid w:val="00231EC1"/>
    <w:rsid w:val="00235D33"/>
    <w:rsid w:val="00241623"/>
    <w:rsid w:val="00246331"/>
    <w:rsid w:val="0025251B"/>
    <w:rsid w:val="0026297C"/>
    <w:rsid w:val="002657B7"/>
    <w:rsid w:val="0026690D"/>
    <w:rsid w:val="00280055"/>
    <w:rsid w:val="002832FF"/>
    <w:rsid w:val="00283537"/>
    <w:rsid w:val="002929B0"/>
    <w:rsid w:val="00294880"/>
    <w:rsid w:val="00295B77"/>
    <w:rsid w:val="002A42BD"/>
    <w:rsid w:val="002A55C2"/>
    <w:rsid w:val="002A5E1C"/>
    <w:rsid w:val="002A6F7B"/>
    <w:rsid w:val="002B3C91"/>
    <w:rsid w:val="002B6525"/>
    <w:rsid w:val="002C79B0"/>
    <w:rsid w:val="002D4D7B"/>
    <w:rsid w:val="002D7359"/>
    <w:rsid w:val="002F173E"/>
    <w:rsid w:val="003019AA"/>
    <w:rsid w:val="00301BD9"/>
    <w:rsid w:val="00301DA8"/>
    <w:rsid w:val="00302376"/>
    <w:rsid w:val="00304817"/>
    <w:rsid w:val="0031087D"/>
    <w:rsid w:val="00311C5C"/>
    <w:rsid w:val="003151BC"/>
    <w:rsid w:val="00322F12"/>
    <w:rsid w:val="00327498"/>
    <w:rsid w:val="00331AC0"/>
    <w:rsid w:val="003420C7"/>
    <w:rsid w:val="00344116"/>
    <w:rsid w:val="003453C7"/>
    <w:rsid w:val="0034697B"/>
    <w:rsid w:val="00356547"/>
    <w:rsid w:val="00356F77"/>
    <w:rsid w:val="00356FAA"/>
    <w:rsid w:val="00366CE3"/>
    <w:rsid w:val="0037251B"/>
    <w:rsid w:val="003759C6"/>
    <w:rsid w:val="003804EA"/>
    <w:rsid w:val="003815AE"/>
    <w:rsid w:val="00382185"/>
    <w:rsid w:val="0038766B"/>
    <w:rsid w:val="0039435D"/>
    <w:rsid w:val="003964FF"/>
    <w:rsid w:val="003975FC"/>
    <w:rsid w:val="003A0D54"/>
    <w:rsid w:val="003A57E8"/>
    <w:rsid w:val="003B6DD8"/>
    <w:rsid w:val="003B7032"/>
    <w:rsid w:val="003C4CD7"/>
    <w:rsid w:val="003C6DBB"/>
    <w:rsid w:val="003D413B"/>
    <w:rsid w:val="003D490D"/>
    <w:rsid w:val="003E0F9C"/>
    <w:rsid w:val="003F2C58"/>
    <w:rsid w:val="003F47B7"/>
    <w:rsid w:val="004110E4"/>
    <w:rsid w:val="0041399D"/>
    <w:rsid w:val="00426676"/>
    <w:rsid w:val="00433768"/>
    <w:rsid w:val="00433CAE"/>
    <w:rsid w:val="004340D4"/>
    <w:rsid w:val="004347C1"/>
    <w:rsid w:val="0044283A"/>
    <w:rsid w:val="00457360"/>
    <w:rsid w:val="004607D0"/>
    <w:rsid w:val="004638BD"/>
    <w:rsid w:val="0046430D"/>
    <w:rsid w:val="00465A47"/>
    <w:rsid w:val="00471187"/>
    <w:rsid w:val="004747CE"/>
    <w:rsid w:val="004827F8"/>
    <w:rsid w:val="004831B6"/>
    <w:rsid w:val="004A7040"/>
    <w:rsid w:val="004B13C6"/>
    <w:rsid w:val="004B36ED"/>
    <w:rsid w:val="004B4BA8"/>
    <w:rsid w:val="004B7DE3"/>
    <w:rsid w:val="004C01A9"/>
    <w:rsid w:val="004C0237"/>
    <w:rsid w:val="004C50A5"/>
    <w:rsid w:val="004D406B"/>
    <w:rsid w:val="004D787A"/>
    <w:rsid w:val="004E0547"/>
    <w:rsid w:val="004E2B7F"/>
    <w:rsid w:val="004E3D96"/>
    <w:rsid w:val="004E6CDF"/>
    <w:rsid w:val="005002E2"/>
    <w:rsid w:val="005007DA"/>
    <w:rsid w:val="00501B5D"/>
    <w:rsid w:val="0050282D"/>
    <w:rsid w:val="00503BB5"/>
    <w:rsid w:val="005057D3"/>
    <w:rsid w:val="005119C6"/>
    <w:rsid w:val="00511A0B"/>
    <w:rsid w:val="00515714"/>
    <w:rsid w:val="0052571E"/>
    <w:rsid w:val="00527C14"/>
    <w:rsid w:val="00531BB7"/>
    <w:rsid w:val="005346D8"/>
    <w:rsid w:val="00537353"/>
    <w:rsid w:val="0053781F"/>
    <w:rsid w:val="00537960"/>
    <w:rsid w:val="00540C42"/>
    <w:rsid w:val="00550D30"/>
    <w:rsid w:val="00551331"/>
    <w:rsid w:val="00556056"/>
    <w:rsid w:val="00564114"/>
    <w:rsid w:val="0056515C"/>
    <w:rsid w:val="00570974"/>
    <w:rsid w:val="00572702"/>
    <w:rsid w:val="00572FAA"/>
    <w:rsid w:val="005A0FED"/>
    <w:rsid w:val="005A3978"/>
    <w:rsid w:val="005B2AF7"/>
    <w:rsid w:val="005B4EA9"/>
    <w:rsid w:val="005B5F74"/>
    <w:rsid w:val="005C1335"/>
    <w:rsid w:val="005D0C91"/>
    <w:rsid w:val="005D1097"/>
    <w:rsid w:val="005D19F8"/>
    <w:rsid w:val="005D709C"/>
    <w:rsid w:val="005E5247"/>
    <w:rsid w:val="005E6B4E"/>
    <w:rsid w:val="005E7B3B"/>
    <w:rsid w:val="00602421"/>
    <w:rsid w:val="00605FDA"/>
    <w:rsid w:val="00606F25"/>
    <w:rsid w:val="00610D76"/>
    <w:rsid w:val="00620694"/>
    <w:rsid w:val="00620F0D"/>
    <w:rsid w:val="00623776"/>
    <w:rsid w:val="00625AB9"/>
    <w:rsid w:val="00626EAC"/>
    <w:rsid w:val="00627ABD"/>
    <w:rsid w:val="00631A20"/>
    <w:rsid w:val="00632B1C"/>
    <w:rsid w:val="00640AF1"/>
    <w:rsid w:val="006462A2"/>
    <w:rsid w:val="006479C3"/>
    <w:rsid w:val="00655498"/>
    <w:rsid w:val="006562B1"/>
    <w:rsid w:val="006574EF"/>
    <w:rsid w:val="00670AAA"/>
    <w:rsid w:val="0067522A"/>
    <w:rsid w:val="00682CB5"/>
    <w:rsid w:val="00690FD1"/>
    <w:rsid w:val="00693EBC"/>
    <w:rsid w:val="00693FE6"/>
    <w:rsid w:val="006A7EC4"/>
    <w:rsid w:val="006B16CE"/>
    <w:rsid w:val="006B3209"/>
    <w:rsid w:val="006B3FD7"/>
    <w:rsid w:val="006C0425"/>
    <w:rsid w:val="006C0997"/>
    <w:rsid w:val="006C2D9A"/>
    <w:rsid w:val="006D0B90"/>
    <w:rsid w:val="006D2760"/>
    <w:rsid w:val="006D4462"/>
    <w:rsid w:val="006D62D3"/>
    <w:rsid w:val="006E5BF1"/>
    <w:rsid w:val="006F54ED"/>
    <w:rsid w:val="00721789"/>
    <w:rsid w:val="00723031"/>
    <w:rsid w:val="00725A92"/>
    <w:rsid w:val="007329B9"/>
    <w:rsid w:val="00742F59"/>
    <w:rsid w:val="007433A1"/>
    <w:rsid w:val="00745526"/>
    <w:rsid w:val="007503F1"/>
    <w:rsid w:val="00755F87"/>
    <w:rsid w:val="007633E0"/>
    <w:rsid w:val="00763D0E"/>
    <w:rsid w:val="00771102"/>
    <w:rsid w:val="00774ADF"/>
    <w:rsid w:val="00776C99"/>
    <w:rsid w:val="00780694"/>
    <w:rsid w:val="007857E7"/>
    <w:rsid w:val="007859F2"/>
    <w:rsid w:val="00790190"/>
    <w:rsid w:val="007940EF"/>
    <w:rsid w:val="00797594"/>
    <w:rsid w:val="007A2608"/>
    <w:rsid w:val="007A498B"/>
    <w:rsid w:val="007B0AD7"/>
    <w:rsid w:val="007C2ACB"/>
    <w:rsid w:val="007C6074"/>
    <w:rsid w:val="007C73FF"/>
    <w:rsid w:val="007D1B87"/>
    <w:rsid w:val="007D3464"/>
    <w:rsid w:val="007D4701"/>
    <w:rsid w:val="007D5793"/>
    <w:rsid w:val="007E2433"/>
    <w:rsid w:val="007F0D8A"/>
    <w:rsid w:val="007F27C7"/>
    <w:rsid w:val="00801E28"/>
    <w:rsid w:val="00803C7B"/>
    <w:rsid w:val="008129E4"/>
    <w:rsid w:val="008153AC"/>
    <w:rsid w:val="0083134F"/>
    <w:rsid w:val="00831761"/>
    <w:rsid w:val="00832DCF"/>
    <w:rsid w:val="0083315B"/>
    <w:rsid w:val="0083465D"/>
    <w:rsid w:val="0083472A"/>
    <w:rsid w:val="00840048"/>
    <w:rsid w:val="0084485A"/>
    <w:rsid w:val="00845B51"/>
    <w:rsid w:val="0084644E"/>
    <w:rsid w:val="008518CD"/>
    <w:rsid w:val="008560D3"/>
    <w:rsid w:val="0085724C"/>
    <w:rsid w:val="00862F6F"/>
    <w:rsid w:val="008651A8"/>
    <w:rsid w:val="00867E0B"/>
    <w:rsid w:val="00867F04"/>
    <w:rsid w:val="00875977"/>
    <w:rsid w:val="00884552"/>
    <w:rsid w:val="0089242F"/>
    <w:rsid w:val="008B0675"/>
    <w:rsid w:val="008B4443"/>
    <w:rsid w:val="008B5F21"/>
    <w:rsid w:val="008C07CC"/>
    <w:rsid w:val="008C503A"/>
    <w:rsid w:val="008C6A7E"/>
    <w:rsid w:val="008D19FB"/>
    <w:rsid w:val="008D403B"/>
    <w:rsid w:val="008D4CB3"/>
    <w:rsid w:val="008E0A0C"/>
    <w:rsid w:val="008E0CBF"/>
    <w:rsid w:val="008F5D35"/>
    <w:rsid w:val="008F776B"/>
    <w:rsid w:val="008F77AE"/>
    <w:rsid w:val="00901913"/>
    <w:rsid w:val="00906FC0"/>
    <w:rsid w:val="0091432D"/>
    <w:rsid w:val="009176BA"/>
    <w:rsid w:val="0093235F"/>
    <w:rsid w:val="0093343A"/>
    <w:rsid w:val="0093430D"/>
    <w:rsid w:val="00936CFC"/>
    <w:rsid w:val="00944030"/>
    <w:rsid w:val="00947592"/>
    <w:rsid w:val="00950CB3"/>
    <w:rsid w:val="00952014"/>
    <w:rsid w:val="0096006D"/>
    <w:rsid w:val="00970EDA"/>
    <w:rsid w:val="009763AB"/>
    <w:rsid w:val="00982419"/>
    <w:rsid w:val="0098712A"/>
    <w:rsid w:val="0099016B"/>
    <w:rsid w:val="00991533"/>
    <w:rsid w:val="00995EE1"/>
    <w:rsid w:val="00996443"/>
    <w:rsid w:val="00996882"/>
    <w:rsid w:val="00996AB7"/>
    <w:rsid w:val="00996D03"/>
    <w:rsid w:val="009A20C5"/>
    <w:rsid w:val="009A70A0"/>
    <w:rsid w:val="009B0841"/>
    <w:rsid w:val="009B2E60"/>
    <w:rsid w:val="009B6ABF"/>
    <w:rsid w:val="009C15EE"/>
    <w:rsid w:val="009C5A07"/>
    <w:rsid w:val="009D1F43"/>
    <w:rsid w:val="009D57E6"/>
    <w:rsid w:val="009E073D"/>
    <w:rsid w:val="009E2225"/>
    <w:rsid w:val="009E440A"/>
    <w:rsid w:val="009F659F"/>
    <w:rsid w:val="00A0515B"/>
    <w:rsid w:val="00A05E17"/>
    <w:rsid w:val="00A07636"/>
    <w:rsid w:val="00A078D0"/>
    <w:rsid w:val="00A22EB4"/>
    <w:rsid w:val="00A240A2"/>
    <w:rsid w:val="00A32A49"/>
    <w:rsid w:val="00A33901"/>
    <w:rsid w:val="00A33B26"/>
    <w:rsid w:val="00A37B4D"/>
    <w:rsid w:val="00A410AF"/>
    <w:rsid w:val="00A43345"/>
    <w:rsid w:val="00A450DB"/>
    <w:rsid w:val="00A4599B"/>
    <w:rsid w:val="00A45CE8"/>
    <w:rsid w:val="00A46593"/>
    <w:rsid w:val="00A527DB"/>
    <w:rsid w:val="00A539AF"/>
    <w:rsid w:val="00A5794D"/>
    <w:rsid w:val="00A620C6"/>
    <w:rsid w:val="00A67AAF"/>
    <w:rsid w:val="00A767EC"/>
    <w:rsid w:val="00A83092"/>
    <w:rsid w:val="00A87A51"/>
    <w:rsid w:val="00AA0BC6"/>
    <w:rsid w:val="00AA32A4"/>
    <w:rsid w:val="00AB16F4"/>
    <w:rsid w:val="00AB4187"/>
    <w:rsid w:val="00AB5B31"/>
    <w:rsid w:val="00AC1442"/>
    <w:rsid w:val="00AD2989"/>
    <w:rsid w:val="00AD4953"/>
    <w:rsid w:val="00AD537B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25E"/>
    <w:rsid w:val="00B21E08"/>
    <w:rsid w:val="00B30DAC"/>
    <w:rsid w:val="00B413FA"/>
    <w:rsid w:val="00B41AC2"/>
    <w:rsid w:val="00B41DE0"/>
    <w:rsid w:val="00B424E2"/>
    <w:rsid w:val="00B432A7"/>
    <w:rsid w:val="00B45327"/>
    <w:rsid w:val="00B5266D"/>
    <w:rsid w:val="00B52E27"/>
    <w:rsid w:val="00B54C1A"/>
    <w:rsid w:val="00B5760E"/>
    <w:rsid w:val="00B651CC"/>
    <w:rsid w:val="00B71135"/>
    <w:rsid w:val="00B72A65"/>
    <w:rsid w:val="00B76902"/>
    <w:rsid w:val="00B90356"/>
    <w:rsid w:val="00B96CC3"/>
    <w:rsid w:val="00B97291"/>
    <w:rsid w:val="00BA06FB"/>
    <w:rsid w:val="00BA2D8D"/>
    <w:rsid w:val="00BA4F0E"/>
    <w:rsid w:val="00BA4F68"/>
    <w:rsid w:val="00BA5B3E"/>
    <w:rsid w:val="00BB63F0"/>
    <w:rsid w:val="00BB6BBB"/>
    <w:rsid w:val="00BB7DAC"/>
    <w:rsid w:val="00BC032A"/>
    <w:rsid w:val="00BC149A"/>
    <w:rsid w:val="00BC21ED"/>
    <w:rsid w:val="00BC671A"/>
    <w:rsid w:val="00BC7580"/>
    <w:rsid w:val="00BE1C4D"/>
    <w:rsid w:val="00BE2026"/>
    <w:rsid w:val="00BE2ABB"/>
    <w:rsid w:val="00BE397C"/>
    <w:rsid w:val="00BE3AD5"/>
    <w:rsid w:val="00BE4716"/>
    <w:rsid w:val="00BF3B05"/>
    <w:rsid w:val="00BF4EAD"/>
    <w:rsid w:val="00C00E81"/>
    <w:rsid w:val="00C02A6C"/>
    <w:rsid w:val="00C06251"/>
    <w:rsid w:val="00C158D9"/>
    <w:rsid w:val="00C17FC1"/>
    <w:rsid w:val="00C21D10"/>
    <w:rsid w:val="00C25D18"/>
    <w:rsid w:val="00C41C2F"/>
    <w:rsid w:val="00C4446B"/>
    <w:rsid w:val="00C579F0"/>
    <w:rsid w:val="00C60C55"/>
    <w:rsid w:val="00C61004"/>
    <w:rsid w:val="00C6187E"/>
    <w:rsid w:val="00C61B79"/>
    <w:rsid w:val="00C62AE1"/>
    <w:rsid w:val="00C714B0"/>
    <w:rsid w:val="00C90556"/>
    <w:rsid w:val="00C934B3"/>
    <w:rsid w:val="00C97FCB"/>
    <w:rsid w:val="00CA2346"/>
    <w:rsid w:val="00CA36CD"/>
    <w:rsid w:val="00CA63FD"/>
    <w:rsid w:val="00CB1863"/>
    <w:rsid w:val="00CB4955"/>
    <w:rsid w:val="00CC38A9"/>
    <w:rsid w:val="00CD126C"/>
    <w:rsid w:val="00CD25DC"/>
    <w:rsid w:val="00CD4CE2"/>
    <w:rsid w:val="00CD5457"/>
    <w:rsid w:val="00CD5DE6"/>
    <w:rsid w:val="00CE0B47"/>
    <w:rsid w:val="00CE5B7A"/>
    <w:rsid w:val="00CE643F"/>
    <w:rsid w:val="00CF129A"/>
    <w:rsid w:val="00CF465C"/>
    <w:rsid w:val="00D01577"/>
    <w:rsid w:val="00D06448"/>
    <w:rsid w:val="00D11655"/>
    <w:rsid w:val="00D25DE6"/>
    <w:rsid w:val="00D261CF"/>
    <w:rsid w:val="00D334A2"/>
    <w:rsid w:val="00D336CB"/>
    <w:rsid w:val="00D4100F"/>
    <w:rsid w:val="00D45E37"/>
    <w:rsid w:val="00D51E0A"/>
    <w:rsid w:val="00D51F4C"/>
    <w:rsid w:val="00D540E3"/>
    <w:rsid w:val="00D57287"/>
    <w:rsid w:val="00D73745"/>
    <w:rsid w:val="00D8760E"/>
    <w:rsid w:val="00D97082"/>
    <w:rsid w:val="00D970F2"/>
    <w:rsid w:val="00DB0973"/>
    <w:rsid w:val="00DB5BD6"/>
    <w:rsid w:val="00DC05F4"/>
    <w:rsid w:val="00DC11CC"/>
    <w:rsid w:val="00DC1921"/>
    <w:rsid w:val="00DC1D75"/>
    <w:rsid w:val="00DD34C6"/>
    <w:rsid w:val="00DE1AA3"/>
    <w:rsid w:val="00DE3E28"/>
    <w:rsid w:val="00DE49B2"/>
    <w:rsid w:val="00DE7D8C"/>
    <w:rsid w:val="00DF0EB3"/>
    <w:rsid w:val="00E119D4"/>
    <w:rsid w:val="00E1568D"/>
    <w:rsid w:val="00E17368"/>
    <w:rsid w:val="00E20C2F"/>
    <w:rsid w:val="00E26740"/>
    <w:rsid w:val="00E27330"/>
    <w:rsid w:val="00E3347A"/>
    <w:rsid w:val="00E35311"/>
    <w:rsid w:val="00E4465F"/>
    <w:rsid w:val="00E4553D"/>
    <w:rsid w:val="00E4589A"/>
    <w:rsid w:val="00E459BA"/>
    <w:rsid w:val="00E46041"/>
    <w:rsid w:val="00E604B2"/>
    <w:rsid w:val="00E6241E"/>
    <w:rsid w:val="00E632C5"/>
    <w:rsid w:val="00E633B7"/>
    <w:rsid w:val="00E65630"/>
    <w:rsid w:val="00E66EF3"/>
    <w:rsid w:val="00E82F9F"/>
    <w:rsid w:val="00E841DF"/>
    <w:rsid w:val="00E91F14"/>
    <w:rsid w:val="00EA410F"/>
    <w:rsid w:val="00EB0D9F"/>
    <w:rsid w:val="00EC7B2E"/>
    <w:rsid w:val="00ED1DE2"/>
    <w:rsid w:val="00ED37E4"/>
    <w:rsid w:val="00ED505D"/>
    <w:rsid w:val="00ED639E"/>
    <w:rsid w:val="00EE540A"/>
    <w:rsid w:val="00EE6E24"/>
    <w:rsid w:val="00EE71FC"/>
    <w:rsid w:val="00EF5322"/>
    <w:rsid w:val="00F03552"/>
    <w:rsid w:val="00F06C58"/>
    <w:rsid w:val="00F164AD"/>
    <w:rsid w:val="00F16555"/>
    <w:rsid w:val="00F23011"/>
    <w:rsid w:val="00F27DEB"/>
    <w:rsid w:val="00F34846"/>
    <w:rsid w:val="00F34C53"/>
    <w:rsid w:val="00F4143E"/>
    <w:rsid w:val="00F449BF"/>
    <w:rsid w:val="00F559BD"/>
    <w:rsid w:val="00F57454"/>
    <w:rsid w:val="00F57F1C"/>
    <w:rsid w:val="00F653FD"/>
    <w:rsid w:val="00F8758F"/>
    <w:rsid w:val="00F97386"/>
    <w:rsid w:val="00FA1812"/>
    <w:rsid w:val="00FA7589"/>
    <w:rsid w:val="00FB04C4"/>
    <w:rsid w:val="00FB30EA"/>
    <w:rsid w:val="00FB42E6"/>
    <w:rsid w:val="00FB5CB2"/>
    <w:rsid w:val="00FB7B25"/>
    <w:rsid w:val="00FC35AF"/>
    <w:rsid w:val="00FD0BFD"/>
    <w:rsid w:val="00FD2C9D"/>
    <w:rsid w:val="00FD5B82"/>
    <w:rsid w:val="00FE219A"/>
    <w:rsid w:val="00FE3ED1"/>
    <w:rsid w:val="00FF07C0"/>
    <w:rsid w:val="00FF12E6"/>
    <w:rsid w:val="00FF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F1D1600-9BF8-469C-8E1B-DD290649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5B"/>
  </w:style>
  <w:style w:type="paragraph" w:styleId="1">
    <w:name w:val="heading 1"/>
    <w:basedOn w:val="a"/>
    <w:next w:val="a"/>
    <w:link w:val="10"/>
    <w:qFormat/>
    <w:rsid w:val="0083315B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315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3315B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315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3315B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3315B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3315B"/>
    <w:pPr>
      <w:ind w:firstLine="709"/>
      <w:jc w:val="both"/>
    </w:pPr>
    <w:rPr>
      <w:sz w:val="26"/>
    </w:rPr>
  </w:style>
  <w:style w:type="paragraph" w:styleId="a6">
    <w:name w:val="header"/>
    <w:basedOn w:val="a"/>
    <w:rsid w:val="008331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315B"/>
  </w:style>
  <w:style w:type="table" w:styleId="a8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1"/>
    <w:rsid w:val="005D109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  <w:style w:type="paragraph" w:styleId="7">
    <w:name w:val="toc 7"/>
    <w:uiPriority w:val="39"/>
    <w:unhideWhenUsed/>
    <w:rsid w:val="00EE54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character" w:styleId="ab">
    <w:name w:val="Hyperlink"/>
    <w:basedOn w:val="a0"/>
    <w:uiPriority w:val="99"/>
    <w:unhideWhenUsed/>
    <w:rsid w:val="00235D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0048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7F0D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CE78-EF39-4F55-A64D-02AAA988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1333</Words>
  <Characters>10038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/>
  <LinksUpToDate>false</LinksUpToDate>
  <CharactersWithSpaces>11349</CharactersWithSpaces>
  <SharedDoc>false</SharedDoc>
  <HLinks>
    <vt:vector size="6" baseType="variant"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Плышевская Марина Анатольевна</cp:lastModifiedBy>
  <cp:revision>2</cp:revision>
  <cp:lastPrinted>2015-10-12T13:05:00Z</cp:lastPrinted>
  <dcterms:created xsi:type="dcterms:W3CDTF">2024-03-18T12:26:00Z</dcterms:created>
  <dcterms:modified xsi:type="dcterms:W3CDTF">2024-03-18T12:26:00Z</dcterms:modified>
</cp:coreProperties>
</file>