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533" w:rsidRPr="008E6053" w:rsidRDefault="00A0515B" w:rsidP="008E6053">
      <w:pPr>
        <w:ind w:firstLine="426"/>
        <w:jc w:val="both"/>
        <w:rPr>
          <w:sz w:val="28"/>
          <w:szCs w:val="28"/>
        </w:rPr>
      </w:pPr>
      <w:r w:rsidRPr="008E6053">
        <w:rPr>
          <w:sz w:val="28"/>
          <w:szCs w:val="28"/>
        </w:rPr>
        <w:t>В целях реализации пункта 6 статьи 2</w:t>
      </w:r>
      <w:r w:rsidR="004C01A9" w:rsidRPr="008E6053">
        <w:rPr>
          <w:sz w:val="28"/>
          <w:szCs w:val="28"/>
        </w:rPr>
        <w:t>1</w:t>
      </w:r>
      <w:r w:rsidRPr="008E6053">
        <w:rPr>
          <w:sz w:val="28"/>
          <w:szCs w:val="28"/>
        </w:rPr>
        <w:t xml:space="preserve"> Таможенного</w:t>
      </w:r>
      <w:r w:rsidR="005A3978" w:rsidRPr="008E6053">
        <w:rPr>
          <w:sz w:val="28"/>
          <w:szCs w:val="28"/>
        </w:rPr>
        <w:t xml:space="preserve"> кодекса </w:t>
      </w:r>
      <w:r w:rsidR="004C01A9" w:rsidRPr="008E6053">
        <w:rPr>
          <w:sz w:val="28"/>
          <w:szCs w:val="28"/>
        </w:rPr>
        <w:t xml:space="preserve">Евразийского экономического </w:t>
      </w:r>
      <w:r w:rsidR="005A3978" w:rsidRPr="008E6053">
        <w:rPr>
          <w:sz w:val="28"/>
          <w:szCs w:val="28"/>
        </w:rPr>
        <w:t>союза</w:t>
      </w:r>
      <w:r w:rsidRPr="008E6053">
        <w:rPr>
          <w:sz w:val="28"/>
          <w:szCs w:val="28"/>
        </w:rPr>
        <w:t xml:space="preserve"> </w:t>
      </w:r>
      <w:r w:rsidR="00DF0EB3" w:rsidRPr="008E6053">
        <w:rPr>
          <w:sz w:val="28"/>
          <w:szCs w:val="28"/>
        </w:rPr>
        <w:t>и решени</w:t>
      </w:r>
      <w:r w:rsidR="008E0CBF" w:rsidRPr="008E6053">
        <w:rPr>
          <w:sz w:val="28"/>
          <w:szCs w:val="28"/>
        </w:rPr>
        <w:t>я</w:t>
      </w:r>
      <w:r w:rsidR="00DF0EB3" w:rsidRPr="008E6053">
        <w:rPr>
          <w:sz w:val="28"/>
          <w:szCs w:val="28"/>
        </w:rPr>
        <w:t xml:space="preserve"> Объединенной коллегии таможенных служб государств-членов </w:t>
      </w:r>
      <w:r w:rsidR="00531BB7" w:rsidRPr="008E6053">
        <w:rPr>
          <w:sz w:val="28"/>
          <w:szCs w:val="28"/>
        </w:rPr>
        <w:t>Евразийского экономического</w:t>
      </w:r>
      <w:r w:rsidR="00DF0EB3" w:rsidRPr="008E6053">
        <w:rPr>
          <w:sz w:val="28"/>
          <w:szCs w:val="28"/>
        </w:rPr>
        <w:t xml:space="preserve"> союза</w:t>
      </w:r>
      <w:r w:rsidR="006C2D9A" w:rsidRPr="008E6053">
        <w:rPr>
          <w:sz w:val="28"/>
          <w:szCs w:val="28"/>
        </w:rPr>
        <w:t xml:space="preserve"> </w:t>
      </w:r>
      <w:r w:rsidR="00EB0D9F" w:rsidRPr="008E6053">
        <w:rPr>
          <w:sz w:val="28"/>
          <w:szCs w:val="28"/>
        </w:rPr>
        <w:t>от</w:t>
      </w:r>
      <w:r w:rsidR="006C2D9A" w:rsidRPr="008E6053">
        <w:rPr>
          <w:sz w:val="28"/>
          <w:szCs w:val="28"/>
        </w:rPr>
        <w:t xml:space="preserve"> </w:t>
      </w:r>
      <w:r w:rsidR="00531BB7" w:rsidRPr="008E6053">
        <w:rPr>
          <w:sz w:val="28"/>
          <w:szCs w:val="28"/>
        </w:rPr>
        <w:t>29</w:t>
      </w:r>
      <w:r w:rsidR="006C2D9A" w:rsidRPr="008E6053">
        <w:rPr>
          <w:sz w:val="28"/>
          <w:szCs w:val="28"/>
        </w:rPr>
        <w:t xml:space="preserve"> </w:t>
      </w:r>
      <w:r w:rsidR="00531BB7" w:rsidRPr="008E6053">
        <w:rPr>
          <w:sz w:val="28"/>
          <w:szCs w:val="28"/>
        </w:rPr>
        <w:t>июн</w:t>
      </w:r>
      <w:r w:rsidR="00DC1921" w:rsidRPr="008E6053">
        <w:rPr>
          <w:sz w:val="28"/>
          <w:szCs w:val="28"/>
        </w:rPr>
        <w:t>я</w:t>
      </w:r>
      <w:r w:rsidR="006C2D9A" w:rsidRPr="008E6053">
        <w:rPr>
          <w:sz w:val="28"/>
          <w:szCs w:val="28"/>
        </w:rPr>
        <w:t xml:space="preserve"> </w:t>
      </w:r>
      <w:r w:rsidR="00EB0D9F" w:rsidRPr="008E6053">
        <w:rPr>
          <w:sz w:val="28"/>
          <w:szCs w:val="28"/>
        </w:rPr>
        <w:t>202</w:t>
      </w:r>
      <w:r w:rsidR="008E0CBF" w:rsidRPr="008E6053">
        <w:rPr>
          <w:sz w:val="28"/>
          <w:szCs w:val="28"/>
        </w:rPr>
        <w:t>3</w:t>
      </w:r>
      <w:r w:rsidR="00EB0D9F" w:rsidRPr="008E6053">
        <w:rPr>
          <w:sz w:val="28"/>
          <w:szCs w:val="28"/>
        </w:rPr>
        <w:t xml:space="preserve"> года </w:t>
      </w:r>
      <w:r w:rsidR="002F173E" w:rsidRPr="008E6053">
        <w:rPr>
          <w:sz w:val="28"/>
          <w:szCs w:val="28"/>
        </w:rPr>
        <w:t xml:space="preserve">№ </w:t>
      </w:r>
      <w:r w:rsidR="008E0CBF" w:rsidRPr="008E6053">
        <w:rPr>
          <w:sz w:val="28"/>
          <w:szCs w:val="28"/>
        </w:rPr>
        <w:t>4</w:t>
      </w:r>
      <w:r w:rsidR="00531BB7" w:rsidRPr="008E6053">
        <w:rPr>
          <w:sz w:val="28"/>
          <w:szCs w:val="28"/>
        </w:rPr>
        <w:t>2</w:t>
      </w:r>
      <w:r w:rsidR="002F173E" w:rsidRPr="008E6053">
        <w:rPr>
          <w:sz w:val="28"/>
          <w:szCs w:val="28"/>
        </w:rPr>
        <w:t>/</w:t>
      </w:r>
      <w:r w:rsidR="00531BB7" w:rsidRPr="008E6053">
        <w:rPr>
          <w:sz w:val="28"/>
          <w:szCs w:val="28"/>
        </w:rPr>
        <w:t>12</w:t>
      </w:r>
      <w:r w:rsidR="002F173E" w:rsidRPr="008E6053">
        <w:rPr>
          <w:sz w:val="28"/>
          <w:szCs w:val="28"/>
        </w:rPr>
        <w:t xml:space="preserve"> </w:t>
      </w:r>
      <w:r w:rsidR="00D11655" w:rsidRPr="008E6053">
        <w:rPr>
          <w:sz w:val="28"/>
          <w:szCs w:val="28"/>
        </w:rPr>
        <w:t>Государственный таможенный комитет</w:t>
      </w:r>
      <w:r w:rsidR="00831761" w:rsidRPr="008E6053">
        <w:rPr>
          <w:sz w:val="28"/>
          <w:szCs w:val="28"/>
        </w:rPr>
        <w:t xml:space="preserve"> </w:t>
      </w:r>
      <w:r w:rsidR="00832DCF" w:rsidRPr="008E6053">
        <w:rPr>
          <w:sz w:val="28"/>
          <w:szCs w:val="28"/>
        </w:rPr>
        <w:t xml:space="preserve">Республики Беларусь </w:t>
      </w:r>
      <w:r w:rsidR="00831761" w:rsidRPr="008E6053">
        <w:rPr>
          <w:sz w:val="28"/>
          <w:szCs w:val="28"/>
        </w:rPr>
        <w:t>разъясняет</w:t>
      </w:r>
      <w:r w:rsidR="00995EE1" w:rsidRPr="008E6053">
        <w:rPr>
          <w:sz w:val="28"/>
          <w:szCs w:val="28"/>
        </w:rPr>
        <w:t xml:space="preserve"> следующее</w:t>
      </w:r>
      <w:r w:rsidR="00065679" w:rsidRPr="008E6053">
        <w:rPr>
          <w:sz w:val="28"/>
          <w:szCs w:val="28"/>
        </w:rPr>
        <w:t>.</w:t>
      </w: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color w:val="000000"/>
          <w:sz w:val="28"/>
          <w:szCs w:val="28"/>
        </w:rPr>
        <w:t>1. Электронная интерактивная доска размером 78 дюймов (198,12 см), имеющая сенсорную поверхность с функцией реагирования на несколько одновременных касаний. Сенсорный ввод осуществляется с помощью ручки или  пальцев рук. Доска оснащена встроенными громкоговорителями. В стандартный комплект поставки входят два электронных стилуса, программный драйвер устройства и руководство пользователя. Интерактивная доска может подключаться к видеопроектору и устройству автоматической обработки данных (</w:t>
      </w:r>
      <w:r w:rsidRPr="008E6053">
        <w:rPr>
          <w:color w:val="000000"/>
          <w:sz w:val="28"/>
          <w:szCs w:val="28"/>
          <w:lang w:val="en-US"/>
        </w:rPr>
        <w:t>ADP</w:t>
      </w:r>
      <w:r w:rsidRPr="008E6053">
        <w:rPr>
          <w:color w:val="000000"/>
          <w:sz w:val="28"/>
          <w:szCs w:val="28"/>
        </w:rPr>
        <w:t xml:space="preserve">) по беспроводной сети, через порт </w:t>
      </w:r>
      <w:r w:rsidRPr="008E6053">
        <w:rPr>
          <w:color w:val="000000"/>
          <w:sz w:val="28"/>
          <w:szCs w:val="28"/>
          <w:lang w:val="en-US"/>
        </w:rPr>
        <w:t>USB</w:t>
      </w:r>
      <w:r w:rsidRPr="008E6053">
        <w:rPr>
          <w:color w:val="000000"/>
          <w:sz w:val="28"/>
          <w:szCs w:val="28"/>
        </w:rPr>
        <w:t xml:space="preserve"> или кабели для последовательной передачи данных. Проецируемый видеопроектором экран устройства </w:t>
      </w:r>
      <w:r w:rsidRPr="008E6053">
        <w:rPr>
          <w:color w:val="000000"/>
          <w:sz w:val="28"/>
          <w:szCs w:val="28"/>
          <w:lang w:val="en-US"/>
        </w:rPr>
        <w:t>ADP</w:t>
      </w:r>
      <w:r w:rsidRPr="008E6053">
        <w:rPr>
          <w:color w:val="000000"/>
          <w:sz w:val="28"/>
          <w:szCs w:val="28"/>
        </w:rPr>
        <w:t xml:space="preserve"> отображается на поверхности интерактивной доски, которая выполняет функцию блока ввода. Интерактивная доска, не подключенная к устройству </w:t>
      </w:r>
      <w:r w:rsidRPr="008E6053">
        <w:rPr>
          <w:color w:val="000000"/>
          <w:sz w:val="28"/>
          <w:szCs w:val="28"/>
          <w:lang w:val="en-US"/>
        </w:rPr>
        <w:t>ADP</w:t>
      </w:r>
      <w:r w:rsidRPr="008E6053">
        <w:rPr>
          <w:color w:val="000000"/>
          <w:sz w:val="28"/>
          <w:szCs w:val="28"/>
        </w:rPr>
        <w:t>, может использоваться как простая доска для записей с возможностью сухого стирания, когда она не подключена к устройству автоматической обработки данных (</w:t>
      </w:r>
      <w:r w:rsidRPr="008E6053">
        <w:rPr>
          <w:color w:val="000000"/>
          <w:sz w:val="28"/>
          <w:szCs w:val="28"/>
          <w:lang w:val="en-US"/>
        </w:rPr>
        <w:t>ADP</w:t>
      </w:r>
      <w:r w:rsidRPr="008E6053">
        <w:rPr>
          <w:color w:val="000000"/>
          <w:sz w:val="28"/>
          <w:szCs w:val="28"/>
        </w:rPr>
        <w:t>),</w:t>
      </w:r>
      <w:r w:rsidR="00E4553D" w:rsidRPr="008E6053">
        <w:rPr>
          <w:color w:val="000000"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 xml:space="preserve">в соответствии с Основными правилами интерпретации Товарной номенклатуры внешнеэкономической деятельности 1 и 6 классифицируется в субпозиции </w:t>
      </w:r>
      <w:r w:rsidRPr="008E6053">
        <w:rPr>
          <w:bCs/>
          <w:sz w:val="28"/>
          <w:szCs w:val="28"/>
        </w:rPr>
        <w:br/>
        <w:t>8471 60</w:t>
      </w:r>
      <w:r w:rsidR="005D709C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союза. </w:t>
      </w: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color w:val="000000"/>
          <w:sz w:val="28"/>
          <w:szCs w:val="28"/>
        </w:rPr>
        <w:t xml:space="preserve">2. Белый порошок бикарбоната натрия, химическая формула - </w:t>
      </w:r>
      <w:r w:rsidRPr="008E6053">
        <w:rPr>
          <w:color w:val="000000"/>
          <w:sz w:val="28"/>
          <w:szCs w:val="28"/>
          <w:lang w:val="en-US"/>
        </w:rPr>
        <w:t>NaHCO</w:t>
      </w:r>
      <w:r w:rsidRPr="008E6053">
        <w:rPr>
          <w:color w:val="000000"/>
          <w:sz w:val="28"/>
          <w:szCs w:val="28"/>
          <w:vertAlign w:val="subscript"/>
        </w:rPr>
        <w:t>3</w:t>
      </w:r>
      <w:r w:rsidRPr="008E6053">
        <w:rPr>
          <w:color w:val="000000"/>
          <w:sz w:val="28"/>
          <w:szCs w:val="28"/>
        </w:rPr>
        <w:t>, упаковка – картридж или полиэтиленовый мешок объемом 550 – 900г (рис.1). Продукт используется только для разведения с кислотным концентратом для бикарбонатного диализа по рецепту врача. К упаковке товара можно напрямую подсоединять диализный аппарат для удаления из крови мочевины и прочих токсических продуктов обмена веществ. Каждый картридж или мешок используется только для одного сеанса диализа, в</w:t>
      </w:r>
      <w:r w:rsidRPr="008E6053">
        <w:rPr>
          <w:bCs/>
          <w:sz w:val="28"/>
          <w:szCs w:val="28"/>
        </w:rPr>
        <w:t xml:space="preserve"> соответствии с Основными правилами интерпретации Товарной номенклатуры внешнеэкономической деятельности </w:t>
      </w:r>
      <w:hyperlink r:id="rId8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 в субпозиции 3004 90</w:t>
      </w:r>
      <w:r w:rsidR="00AA32A4" w:rsidRPr="008E6053">
        <w:rPr>
          <w:bCs/>
          <w:sz w:val="28"/>
          <w:szCs w:val="28"/>
        </w:rPr>
        <w:t> </w:t>
      </w:r>
      <w:r w:rsidRPr="008E6053">
        <w:rPr>
          <w:bCs/>
          <w:sz w:val="28"/>
          <w:szCs w:val="28"/>
        </w:rPr>
        <w:t>000</w:t>
      </w:r>
      <w:r w:rsidR="00AA32A4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 xml:space="preserve">единой </w:t>
      </w:r>
      <w:r w:rsidRPr="008E6053">
        <w:rPr>
          <w:bCs/>
          <w:sz w:val="28"/>
          <w:szCs w:val="28"/>
        </w:rPr>
        <w:br/>
        <w:t xml:space="preserve">Товарной номенклатуры внешнеэкономической деятельности Евразийского экономического союза. </w:t>
      </w:r>
    </w:p>
    <w:p w:rsidR="00EE540A" w:rsidRDefault="008E6053" w:rsidP="008E6053">
      <w:pPr>
        <w:ind w:firstLine="426"/>
        <w:jc w:val="center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inline distT="0" distB="0" distL="0" distR="0">
            <wp:extent cx="4076700" cy="1860787"/>
            <wp:effectExtent l="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860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053" w:rsidRPr="008E6053" w:rsidRDefault="008E6053" w:rsidP="008E6053">
      <w:pPr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EE540A" w:rsidRPr="008E6053" w:rsidRDefault="00F24C65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1813560</wp:posOffset>
                </wp:positionH>
                <wp:positionV relativeFrom="paragraph">
                  <wp:posOffset>2910205</wp:posOffset>
                </wp:positionV>
                <wp:extent cx="2444115" cy="295910"/>
                <wp:effectExtent l="0" t="0" r="9525" b="889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540A" w:rsidRPr="006B1B3F" w:rsidRDefault="00EE540A" w:rsidP="00EE540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B1B3F">
                              <w:rPr>
                                <w:sz w:val="28"/>
                                <w:szCs w:val="28"/>
                              </w:rP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42.8pt;margin-top:229.15pt;width:192.45pt;height:23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" stroked="f">
                <v:textbox style="mso-fit-shape-to-text:t">
                  <w:txbxContent>
                    <w:p w:rsidR="00EE540A" w:rsidRPr="006B1B3F" w:rsidRDefault="00EE540A" w:rsidP="00EE540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6B1B3F">
                        <w:rPr>
                          <w:sz w:val="28"/>
                          <w:szCs w:val="28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EE540A" w:rsidRPr="008E6053">
        <w:rPr>
          <w:color w:val="000000"/>
          <w:sz w:val="28"/>
          <w:szCs w:val="28"/>
        </w:rPr>
        <w:t xml:space="preserve">3. Жареные водоросли производятся из высушенных водорослей (100%), которые перед обжариванием и упаковкой проверяются с помощью детектора металла и детектора примесей, </w:t>
      </w:r>
      <w:r w:rsidR="00EE540A" w:rsidRPr="008E6053">
        <w:rPr>
          <w:bCs/>
          <w:sz w:val="28"/>
          <w:szCs w:val="28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10" w:history="1">
        <w:r w:rsidR="00EE540A" w:rsidRPr="008E6053">
          <w:rPr>
            <w:bCs/>
            <w:sz w:val="28"/>
            <w:szCs w:val="28"/>
          </w:rPr>
          <w:t>1</w:t>
        </w:r>
      </w:hyperlink>
      <w:r w:rsidR="00EE540A" w:rsidRPr="008E6053">
        <w:rPr>
          <w:bCs/>
          <w:sz w:val="28"/>
          <w:szCs w:val="28"/>
        </w:rPr>
        <w:t xml:space="preserve"> </w:t>
      </w:r>
      <w:r w:rsidR="00EE540A" w:rsidRPr="008E6053">
        <w:rPr>
          <w:bCs/>
          <w:sz w:val="28"/>
          <w:szCs w:val="28"/>
        </w:rPr>
        <w:lastRenderedPageBreak/>
        <w:t>и 6 классифицируются в субпозиции 2008 99</w:t>
      </w:r>
      <w:r w:rsidR="00620694" w:rsidRPr="008E6053">
        <w:rPr>
          <w:bCs/>
          <w:sz w:val="28"/>
          <w:szCs w:val="28"/>
        </w:rPr>
        <w:t xml:space="preserve"> </w:t>
      </w:r>
      <w:r w:rsidR="00EE540A" w:rsidRPr="008E6053">
        <w:rPr>
          <w:bCs/>
          <w:sz w:val="28"/>
          <w:szCs w:val="28"/>
        </w:rPr>
        <w:t>единой Товарной номенклатуры внешнеэкономической деятельности Евразийского экономического союза</w:t>
      </w:r>
      <w:r w:rsidR="00065679" w:rsidRPr="008E6053">
        <w:rPr>
          <w:color w:val="000000"/>
          <w:sz w:val="28"/>
          <w:szCs w:val="28"/>
        </w:rPr>
        <w:t>.</w:t>
      </w: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sz w:val="28"/>
          <w:szCs w:val="28"/>
        </w:rPr>
        <w:t>4. Сушеные красные водоросли - красные водоросли (90%), кукурузное масло (6%), кунжутное масло (3%) и соль (1%). Красные водоросли обжариваются  при температуре 180°C - 200°C в течение 5 секунд, после чего</w:t>
      </w:r>
      <w:r w:rsidRPr="008E6053">
        <w:rPr>
          <w:sz w:val="28"/>
          <w:szCs w:val="28"/>
        </w:rPr>
        <w:br/>
        <w:t xml:space="preserve">в них добавляются соль, кунжутное масло и кукурузное масло (на данном этапе производства может добавляться порошок зеленого чая, порошок кимчи </w:t>
      </w:r>
      <w:r w:rsidRPr="008E6053">
        <w:rPr>
          <w:sz w:val="28"/>
          <w:szCs w:val="28"/>
        </w:rPr>
        <w:br/>
        <w:t xml:space="preserve">или оливковое масло для улучшения вкуса и аромата). В конечном итоге красные водоросли снова обжариваются в течение 5 секунд при температуре 330°C, </w:t>
      </w:r>
      <w:r w:rsidRPr="008E6053">
        <w:rPr>
          <w:bCs/>
          <w:sz w:val="28"/>
          <w:szCs w:val="28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11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классифицируются в субпозиции</w:t>
      </w:r>
      <w:r w:rsidR="00356547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2008 99</w:t>
      </w:r>
      <w:r w:rsidR="00356547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единой Товарной номенклатуры внешнеэкономической деятельности Евр</w:t>
      </w:r>
      <w:r w:rsidR="00356547" w:rsidRPr="008E6053">
        <w:rPr>
          <w:bCs/>
          <w:sz w:val="28"/>
          <w:szCs w:val="28"/>
        </w:rPr>
        <w:t>азийского экономического союза</w:t>
      </w:r>
      <w:r w:rsidR="00FD2C9D" w:rsidRPr="008E6053">
        <w:rPr>
          <w:bCs/>
          <w:sz w:val="28"/>
          <w:szCs w:val="28"/>
        </w:rPr>
        <w:t>.</w:t>
      </w:r>
      <w:r w:rsidRPr="008E6053">
        <w:rPr>
          <w:bCs/>
          <w:sz w:val="28"/>
          <w:szCs w:val="28"/>
        </w:rPr>
        <w:t xml:space="preserve"> </w:t>
      </w: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color w:val="000000"/>
          <w:sz w:val="28"/>
          <w:szCs w:val="28"/>
        </w:rPr>
        <w:t>5. Заменитель костного трансплантата,</w:t>
      </w:r>
      <w:r w:rsidR="005E6B4E" w:rsidRPr="008E6053">
        <w:rPr>
          <w:color w:val="000000"/>
          <w:sz w:val="28"/>
          <w:szCs w:val="28"/>
        </w:rPr>
        <w:t xml:space="preserve"> </w:t>
      </w:r>
      <w:r w:rsidRPr="008E6053">
        <w:rPr>
          <w:color w:val="000000"/>
          <w:sz w:val="28"/>
          <w:szCs w:val="28"/>
        </w:rPr>
        <w:t xml:space="preserve">в виде гранул, предназначенный </w:t>
      </w:r>
      <w:r w:rsidRPr="008E6053">
        <w:rPr>
          <w:color w:val="000000"/>
          <w:sz w:val="28"/>
          <w:szCs w:val="28"/>
        </w:rPr>
        <w:br/>
        <w:t xml:space="preserve">для заполнения дефектов костей и наращивания костной ткани, например, </w:t>
      </w:r>
      <w:r w:rsidRPr="008E6053">
        <w:rPr>
          <w:color w:val="000000"/>
          <w:sz w:val="28"/>
          <w:szCs w:val="28"/>
        </w:rPr>
        <w:br/>
        <w:t xml:space="preserve">при восстановлении зубов в имплантологии, пародонтологии, а также </w:t>
      </w:r>
      <w:r w:rsidRPr="008E6053">
        <w:rPr>
          <w:color w:val="000000"/>
          <w:sz w:val="28"/>
          <w:szCs w:val="28"/>
        </w:rPr>
        <w:br/>
        <w:t xml:space="preserve">при восстановлении альвеолярного отростка челюсти. Он состоит только </w:t>
      </w:r>
      <w:r w:rsidRPr="008E6053">
        <w:rPr>
          <w:color w:val="000000"/>
          <w:sz w:val="28"/>
          <w:szCs w:val="28"/>
        </w:rPr>
        <w:br/>
        <w:t xml:space="preserve">из гидроксиапатита, который представляет собой неорганический компонент </w:t>
      </w:r>
      <w:r w:rsidRPr="008E6053">
        <w:rPr>
          <w:color w:val="000000"/>
          <w:sz w:val="28"/>
          <w:szCs w:val="28"/>
        </w:rPr>
        <w:br/>
        <w:t>из группы ортофосфатов кальция. Продукт расфасован в упаковку для розничной продажи, и в</w:t>
      </w:r>
      <w:r w:rsidRPr="008E6053">
        <w:rPr>
          <w:bCs/>
          <w:sz w:val="28"/>
          <w:szCs w:val="28"/>
        </w:rPr>
        <w:t xml:space="preserve"> соответствии с Основными правилами интерпретации Товарной номенклатуры внешнеэкономической деятельности </w:t>
      </w:r>
      <w:hyperlink r:id="rId12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</w:t>
      </w:r>
      <w:r w:rsidR="00DE49B2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в субпозиции 3004 90</w:t>
      </w:r>
      <w:r w:rsidRPr="008E6053">
        <w:rPr>
          <w:sz w:val="28"/>
          <w:szCs w:val="28"/>
        </w:rPr>
        <w:t xml:space="preserve"> 000 </w:t>
      </w:r>
      <w:r w:rsidRPr="008E6053">
        <w:rPr>
          <w:bCs/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союза. </w:t>
      </w: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color w:val="000000"/>
          <w:sz w:val="28"/>
          <w:szCs w:val="28"/>
        </w:rPr>
        <w:t xml:space="preserve">6. Сжиженный углеводородный газ, состоящий из смеси этана (2,0%); пропана (66,3%); н-бутана (18,7%); изобутана (11,7%); н-пентана (0,1%) </w:t>
      </w:r>
      <w:r w:rsidRPr="008E6053">
        <w:rPr>
          <w:color w:val="000000"/>
          <w:sz w:val="28"/>
          <w:szCs w:val="28"/>
        </w:rPr>
        <w:br/>
        <w:t xml:space="preserve">и изопентана (1,2%). Данный продукт представлен в жидком состоянии. </w:t>
      </w:r>
      <w:r w:rsidRPr="008E6053">
        <w:rPr>
          <w:color w:val="000000"/>
          <w:sz w:val="28"/>
          <w:szCs w:val="28"/>
        </w:rPr>
        <w:br/>
        <w:t xml:space="preserve">Это продукт переработки нефти и обработки природного газа, </w:t>
      </w:r>
      <w:r w:rsidRPr="008E6053">
        <w:rPr>
          <w:bCs/>
          <w:sz w:val="28"/>
          <w:szCs w:val="28"/>
        </w:rPr>
        <w:t xml:space="preserve">в соответствии </w:t>
      </w:r>
      <w:r w:rsidRPr="008E6053">
        <w:rPr>
          <w:bCs/>
          <w:sz w:val="28"/>
          <w:szCs w:val="28"/>
        </w:rPr>
        <w:br/>
        <w:t xml:space="preserve">с Основными правилами интерпретации Товарной номенклатуры внешнеэкономической деятельности </w:t>
      </w:r>
      <w:hyperlink r:id="rId13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 в субпозиции </w:t>
      </w:r>
      <w:r w:rsidRPr="008E6053">
        <w:rPr>
          <w:bCs/>
          <w:sz w:val="28"/>
          <w:szCs w:val="28"/>
        </w:rPr>
        <w:br/>
        <w:t>2711 19</w:t>
      </w:r>
      <w:r w:rsidR="00BE4716" w:rsidRPr="008E6053">
        <w:rPr>
          <w:bCs/>
          <w:sz w:val="28"/>
          <w:szCs w:val="28"/>
        </w:rPr>
        <w:t xml:space="preserve"> </w:t>
      </w:r>
      <w:r w:rsidRPr="008E6053">
        <w:rPr>
          <w:sz w:val="28"/>
          <w:szCs w:val="28"/>
        </w:rPr>
        <w:t xml:space="preserve">000 </w:t>
      </w:r>
      <w:r w:rsidR="002657B7" w:rsidRPr="008E6053">
        <w:rPr>
          <w:sz w:val="28"/>
          <w:szCs w:val="28"/>
        </w:rPr>
        <w:t xml:space="preserve">0 </w:t>
      </w:r>
      <w:r w:rsidRPr="008E6053">
        <w:rPr>
          <w:bCs/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союза. </w:t>
      </w: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color w:val="000000"/>
          <w:sz w:val="28"/>
          <w:szCs w:val="28"/>
        </w:rPr>
        <w:t xml:space="preserve">7. Стоматологический блок из диоксида циркония, круглый, диаметром </w:t>
      </w:r>
      <w:r w:rsidRPr="008E6053">
        <w:rPr>
          <w:color w:val="000000"/>
          <w:sz w:val="28"/>
          <w:szCs w:val="28"/>
        </w:rPr>
        <w:br/>
        <w:t>98 мм и высотой 14 мм. Состоит в основном из оксида циркония с небольшим количеством оксидов других металлов. После импорта продукт будет обработан в стоматологических лабораториях или стоматологами. Перед использованием блока в стоматологии требуется выполнение нескольких процедур, таких как фрезерование, окрашивание, спекание и глазурирование, чтобы принять свою окончательную форму в виде искусственного зуба или зубных реставраций,</w:t>
      </w:r>
      <w:r w:rsidR="0056515C" w:rsidRPr="008E6053">
        <w:rPr>
          <w:color w:val="000000"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14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 в субпозиции</w:t>
      </w:r>
      <w:r w:rsidR="0056515C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3824 99</w:t>
      </w:r>
      <w:r w:rsidR="0056515C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союза. 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  <w:r w:rsidRPr="008E6053">
        <w:rPr>
          <w:color w:val="000000"/>
          <w:sz w:val="28"/>
          <w:szCs w:val="28"/>
        </w:rPr>
        <w:t>8. Табакосодержащая продукция для вдыхания (рис. 2),</w:t>
      </w:r>
      <w:r w:rsidRPr="008E6053">
        <w:rPr>
          <w:sz w:val="28"/>
          <w:szCs w:val="28"/>
        </w:rPr>
        <w:t xml:space="preserve"> предназначенная для использования в специализированном устройстве с электрическим нагревом.</w:t>
      </w:r>
      <w:r w:rsidR="0053781F" w:rsidRPr="008E6053">
        <w:rPr>
          <w:sz w:val="28"/>
          <w:szCs w:val="28"/>
        </w:rPr>
        <w:t xml:space="preserve"> </w:t>
      </w:r>
      <w:r w:rsidRPr="008E6053">
        <w:rPr>
          <w:sz w:val="28"/>
          <w:szCs w:val="28"/>
        </w:rPr>
        <w:t>Эта продукция имеет цилиндрическую форму (длиной 45 мм, диаметром 7,3 мм)</w:t>
      </w:r>
      <w:r w:rsidR="0053781F" w:rsidRPr="008E6053">
        <w:rPr>
          <w:sz w:val="28"/>
          <w:szCs w:val="28"/>
        </w:rPr>
        <w:t xml:space="preserve"> </w:t>
      </w:r>
      <w:r w:rsidRPr="008E6053">
        <w:rPr>
          <w:sz w:val="28"/>
          <w:szCs w:val="28"/>
        </w:rPr>
        <w:t xml:space="preserve">и состоит из табачного штранга, полой ацетатной трубки, фильтра из полимерной пленки, мундштучного фильтра из ацетата целлюлозы низкой плотности, а также наружной и мундштучной бумаги (табачный штранг </w:t>
      </w:r>
      <w:r w:rsidRPr="008E6053">
        <w:rPr>
          <w:sz w:val="28"/>
          <w:szCs w:val="28"/>
        </w:rPr>
        <w:lastRenderedPageBreak/>
        <w:t>изготовлен из порошка, содержащего различные виды табака, связующие вещества и увлажнители (воду, гуаровую камедь и натуральные целлюлозные волокна), а также глицерин для облегчения образования аэрозоля. Табачный штранг может быть обернут</w:t>
      </w:r>
      <w:r w:rsidR="0053781F" w:rsidRPr="008E6053">
        <w:rPr>
          <w:sz w:val="28"/>
          <w:szCs w:val="28"/>
        </w:rPr>
        <w:t xml:space="preserve"> </w:t>
      </w:r>
      <w:r w:rsidRPr="008E6053">
        <w:rPr>
          <w:sz w:val="28"/>
          <w:szCs w:val="28"/>
        </w:rPr>
        <w:t>в бумагу, ламинированную алюминием. Общий вес продукции составляет около 0,8 г, тогда как вес табачного штранга составляет приблизительно 0,3</w:t>
      </w:r>
      <w:r w:rsidR="00C61B79" w:rsidRPr="008E6053">
        <w:rPr>
          <w:sz w:val="28"/>
          <w:szCs w:val="28"/>
        </w:rPr>
        <w:t xml:space="preserve"> </w:t>
      </w:r>
      <w:r w:rsidRPr="008E6053">
        <w:rPr>
          <w:sz w:val="28"/>
          <w:szCs w:val="28"/>
        </w:rPr>
        <w:t>г. Продукция предназначена для установки в устройство (рис. 3), которое подает</w:t>
      </w:r>
      <w:r w:rsidR="0053781F" w:rsidRPr="008E6053">
        <w:rPr>
          <w:sz w:val="28"/>
          <w:szCs w:val="28"/>
        </w:rPr>
        <w:t xml:space="preserve"> </w:t>
      </w:r>
      <w:r w:rsidRPr="008E6053">
        <w:rPr>
          <w:sz w:val="28"/>
          <w:szCs w:val="28"/>
        </w:rPr>
        <w:t>к нему контролируемое датчиком тепло, не вызывая горение табака.</w:t>
      </w:r>
      <w:r w:rsidR="0053781F" w:rsidRPr="008E6053">
        <w:rPr>
          <w:sz w:val="28"/>
          <w:szCs w:val="28"/>
        </w:rPr>
        <w:t xml:space="preserve"> </w:t>
      </w:r>
      <w:r w:rsidRPr="008E6053">
        <w:rPr>
          <w:sz w:val="28"/>
          <w:szCs w:val="28"/>
        </w:rPr>
        <w:t xml:space="preserve">При помещении в рот для вдыхания табачная продукция в результате нагревания образует аэрозоль, содержащий никотин, </w:t>
      </w:r>
      <w:r w:rsidRPr="008E6053">
        <w:rPr>
          <w:bCs/>
          <w:sz w:val="28"/>
          <w:szCs w:val="28"/>
        </w:rPr>
        <w:t xml:space="preserve">в соответствии с Основными правилами интерпретации Товарной номенклатуры внешнеэкономической деятельности </w:t>
      </w:r>
      <w:hyperlink r:id="rId15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 в субпозиции 2404</w:t>
      </w:r>
      <w:r w:rsidR="0053781F" w:rsidRPr="008E6053">
        <w:rPr>
          <w:bCs/>
          <w:sz w:val="28"/>
          <w:szCs w:val="28"/>
        </w:rPr>
        <w:t> </w:t>
      </w:r>
      <w:r w:rsidRPr="008E6053">
        <w:rPr>
          <w:bCs/>
          <w:sz w:val="28"/>
          <w:szCs w:val="28"/>
        </w:rPr>
        <w:t>11</w:t>
      </w:r>
      <w:r w:rsidRPr="008E6053">
        <w:rPr>
          <w:sz w:val="28"/>
          <w:szCs w:val="28"/>
        </w:rPr>
        <w:t xml:space="preserve"> 000 </w:t>
      </w:r>
      <w:r w:rsidRPr="008E6053">
        <w:rPr>
          <w:bCs/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союза. 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762F2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inline distT="0" distB="0" distL="0" distR="0">
            <wp:extent cx="5276850" cy="1743075"/>
            <wp:effectExtent l="19050" t="0" r="0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0A" w:rsidRPr="008E6053" w:rsidRDefault="00EE540A" w:rsidP="008E6053">
      <w:pPr>
        <w:ind w:firstLine="426"/>
        <w:jc w:val="center"/>
        <w:rPr>
          <w:sz w:val="28"/>
          <w:szCs w:val="28"/>
        </w:rPr>
      </w:pPr>
      <w:r w:rsidRPr="008E6053">
        <w:rPr>
          <w:sz w:val="28"/>
          <w:szCs w:val="28"/>
        </w:rPr>
        <w:t>Рис.2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762F2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inline distT="0" distB="0" distL="0" distR="0">
            <wp:extent cx="4714875" cy="2266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0A" w:rsidRPr="008E6053" w:rsidRDefault="00EE540A" w:rsidP="008E6053">
      <w:pPr>
        <w:ind w:firstLine="426"/>
        <w:jc w:val="center"/>
        <w:rPr>
          <w:sz w:val="28"/>
          <w:szCs w:val="28"/>
        </w:rPr>
      </w:pPr>
      <w:r w:rsidRPr="008E6053">
        <w:rPr>
          <w:sz w:val="28"/>
          <w:szCs w:val="28"/>
        </w:rPr>
        <w:t>Рис.3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color w:val="000000"/>
          <w:sz w:val="28"/>
          <w:szCs w:val="28"/>
        </w:rPr>
        <w:t>9. Узел ступицы с коническим роликовым подшипником для вращения внутреннего кольца и фланца, также называемый «Конический роликовый подшипник ступичного узла 2-го поколения» (рис. 4), с двумя рядами роликов, состоящими из:</w:t>
      </w: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color w:val="000000"/>
          <w:sz w:val="28"/>
          <w:szCs w:val="28"/>
        </w:rPr>
        <w:t>(i) двух стальных внутренних кол</w:t>
      </w:r>
      <w:r w:rsidR="00E632C5" w:rsidRPr="008E6053">
        <w:rPr>
          <w:color w:val="000000"/>
          <w:sz w:val="28"/>
          <w:szCs w:val="28"/>
        </w:rPr>
        <w:t>е</w:t>
      </w:r>
      <w:r w:rsidRPr="008E6053">
        <w:rPr>
          <w:color w:val="000000"/>
          <w:sz w:val="28"/>
          <w:szCs w:val="28"/>
        </w:rPr>
        <w:t>ц (внутренний диаметр 54 мм);</w:t>
      </w: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color w:val="000000"/>
          <w:sz w:val="28"/>
          <w:szCs w:val="28"/>
        </w:rPr>
        <w:t xml:space="preserve">(ii) </w:t>
      </w:r>
      <w:r w:rsidRPr="008E6053">
        <w:rPr>
          <w:color w:val="000000"/>
          <w:sz w:val="28"/>
          <w:szCs w:val="28"/>
        </w:rPr>
        <w:tab/>
        <w:t>стального наружного кольца с фланцем (внешний диаметр 96 мм, диаметр фланца 159 мм);</w:t>
      </w: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color w:val="000000"/>
          <w:sz w:val="28"/>
          <w:szCs w:val="28"/>
        </w:rPr>
        <w:t>(iii) 40 стальных роликов (20 роликов х 2 ряда);</w:t>
      </w:r>
    </w:p>
    <w:p w:rsidR="00EE540A" w:rsidRPr="008E6053" w:rsidRDefault="00EE540A" w:rsidP="008E6053">
      <w:pPr>
        <w:ind w:firstLine="426"/>
        <w:jc w:val="both"/>
        <w:rPr>
          <w:color w:val="000000"/>
          <w:sz w:val="28"/>
          <w:szCs w:val="28"/>
        </w:rPr>
      </w:pPr>
      <w:r w:rsidRPr="008E6053">
        <w:rPr>
          <w:color w:val="000000"/>
          <w:sz w:val="28"/>
          <w:szCs w:val="28"/>
        </w:rPr>
        <w:t>(iv) двух пластиковых сепараторов, и</w:t>
      </w: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color w:val="000000"/>
          <w:sz w:val="28"/>
          <w:szCs w:val="28"/>
        </w:rPr>
        <w:lastRenderedPageBreak/>
        <w:t>(v) двух резиновых уплотнений в</w:t>
      </w:r>
      <w:r w:rsidRPr="008E6053">
        <w:rPr>
          <w:bCs/>
          <w:sz w:val="28"/>
          <w:szCs w:val="28"/>
        </w:rPr>
        <w:t xml:space="preserve"> соответствии с Основными правилами интерпретации Товарной номенклатуры внешнеэкономической деятельности </w:t>
      </w:r>
      <w:hyperlink r:id="rId18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 в субпозиции 8708 50</w:t>
      </w:r>
      <w:r w:rsidR="009C15EE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единой Товарной номенклатуры внешнеэкономической деятельности Евразийского экономического союза.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762F2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inline distT="0" distB="0" distL="0" distR="0">
            <wp:extent cx="5772150" cy="3028950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0A" w:rsidRPr="008E6053" w:rsidRDefault="00EE540A" w:rsidP="008E6053">
      <w:pPr>
        <w:ind w:firstLine="426"/>
        <w:jc w:val="center"/>
        <w:rPr>
          <w:sz w:val="28"/>
          <w:szCs w:val="28"/>
        </w:rPr>
      </w:pPr>
      <w:r w:rsidRPr="008E6053">
        <w:rPr>
          <w:sz w:val="28"/>
          <w:szCs w:val="28"/>
        </w:rPr>
        <w:t>Рис. 4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bCs/>
          <w:sz w:val="28"/>
          <w:szCs w:val="28"/>
        </w:rPr>
        <w:t>10. Узел ступицы с подшипником для вращения наружного кольца (137 мм (диаметр) × 68 мм (ширина)), также называемый «Подшипник ступичного узла с наружным кольцом вращающегося типа, 2-го поколения» (рис. 5),</w:t>
      </w:r>
      <w:r w:rsidRPr="008E6053">
        <w:rPr>
          <w:bCs/>
          <w:sz w:val="28"/>
          <w:szCs w:val="28"/>
        </w:rPr>
        <w:br/>
        <w:t xml:space="preserve"> состоящий из: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  <w:r w:rsidRPr="008E6053">
        <w:rPr>
          <w:sz w:val="28"/>
          <w:szCs w:val="28"/>
        </w:rPr>
        <w:t>(</w:t>
      </w:r>
      <w:r w:rsidRPr="008E6053">
        <w:rPr>
          <w:sz w:val="28"/>
          <w:szCs w:val="28"/>
          <w:lang w:val="en-US"/>
        </w:rPr>
        <w:t>i</w:t>
      </w:r>
      <w:r w:rsidRPr="008E6053">
        <w:rPr>
          <w:sz w:val="28"/>
          <w:szCs w:val="28"/>
        </w:rPr>
        <w:t>) двух внутренних колец;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  <w:r w:rsidRPr="008E6053">
        <w:rPr>
          <w:sz w:val="28"/>
          <w:szCs w:val="28"/>
        </w:rPr>
        <w:t>(</w:t>
      </w:r>
      <w:r w:rsidRPr="008E6053">
        <w:rPr>
          <w:sz w:val="28"/>
          <w:szCs w:val="28"/>
          <w:lang w:val="en-US"/>
        </w:rPr>
        <w:t>ii</w:t>
      </w:r>
      <w:r w:rsidRPr="008E6053">
        <w:rPr>
          <w:sz w:val="28"/>
          <w:szCs w:val="28"/>
        </w:rPr>
        <w:t>) наружного кольца;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  <w:r w:rsidRPr="008E6053">
        <w:rPr>
          <w:sz w:val="28"/>
          <w:szCs w:val="28"/>
        </w:rPr>
        <w:t>(</w:t>
      </w:r>
      <w:r w:rsidRPr="008E6053">
        <w:rPr>
          <w:sz w:val="28"/>
          <w:szCs w:val="28"/>
          <w:lang w:val="en-US"/>
        </w:rPr>
        <w:t>iii</w:t>
      </w:r>
      <w:r w:rsidRPr="008E6053">
        <w:rPr>
          <w:sz w:val="28"/>
          <w:szCs w:val="28"/>
        </w:rPr>
        <w:t>) стальных шариков;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  <w:r w:rsidRPr="008E6053">
        <w:rPr>
          <w:sz w:val="28"/>
          <w:szCs w:val="28"/>
        </w:rPr>
        <w:t>(</w:t>
      </w:r>
      <w:r w:rsidRPr="008E6053">
        <w:rPr>
          <w:sz w:val="28"/>
          <w:szCs w:val="28"/>
          <w:lang w:val="en-US"/>
        </w:rPr>
        <w:t>iv</w:t>
      </w:r>
      <w:r w:rsidRPr="008E6053">
        <w:rPr>
          <w:sz w:val="28"/>
          <w:szCs w:val="28"/>
        </w:rPr>
        <w:t xml:space="preserve">) сепараторов и 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  <w:r w:rsidRPr="008E6053">
        <w:rPr>
          <w:sz w:val="28"/>
          <w:szCs w:val="28"/>
        </w:rPr>
        <w:t>(</w:t>
      </w:r>
      <w:r w:rsidRPr="008E6053">
        <w:rPr>
          <w:sz w:val="28"/>
          <w:szCs w:val="28"/>
          <w:lang w:val="en-US"/>
        </w:rPr>
        <w:t>v</w:t>
      </w:r>
      <w:r w:rsidRPr="008E6053">
        <w:rPr>
          <w:sz w:val="28"/>
          <w:szCs w:val="28"/>
        </w:rPr>
        <w:t>) резиновых уплотнений в соответствии с Основными правилами интерпретации Товарной номенклатуры внешнеэкономической деятельности 1 и 6 классифицируется в субпозиции 8708 50 единой Товарной номенклатуры внешнеэкономической деятельности Евразийского экономического союза.</w:t>
      </w:r>
    </w:p>
    <w:p w:rsidR="00EE540A" w:rsidRPr="008E6053" w:rsidRDefault="00E762F2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inline distT="0" distB="0" distL="0" distR="0">
            <wp:extent cx="4419600" cy="2686050"/>
            <wp:effectExtent l="19050" t="0" r="0" b="0"/>
            <wp:docPr id="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0A" w:rsidRPr="008E6053" w:rsidRDefault="00EE540A" w:rsidP="008E6053">
      <w:pPr>
        <w:ind w:firstLine="426"/>
        <w:jc w:val="center"/>
        <w:rPr>
          <w:sz w:val="28"/>
          <w:szCs w:val="28"/>
        </w:rPr>
      </w:pPr>
      <w:r w:rsidRPr="008E6053">
        <w:rPr>
          <w:sz w:val="28"/>
          <w:szCs w:val="28"/>
        </w:rPr>
        <w:t>Рис. 5</w:t>
      </w: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bCs/>
          <w:sz w:val="28"/>
          <w:szCs w:val="28"/>
        </w:rPr>
        <w:lastRenderedPageBreak/>
        <w:t>11. Наружное кольцо для конического роликового подшипника ступичного узла 2-го поколения (рис. 6) (внешний диаметр 96 мм, диаметр фланца 159 мм). Кольцо имеет отверстия с резьбой, позволяющее крепить его болтами к кузову автомобиля после сборки в узел с коническим роликовым подшипником ступичного узла 2-го поколения</w:t>
      </w:r>
      <w:r w:rsidRPr="008E6053">
        <w:rPr>
          <w:color w:val="000000"/>
          <w:sz w:val="28"/>
          <w:szCs w:val="28"/>
        </w:rPr>
        <w:t>,</w:t>
      </w:r>
      <w:r w:rsidR="00FB42E6" w:rsidRPr="008E6053">
        <w:rPr>
          <w:color w:val="000000"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в соответствии с Основными правилами интерпретации Товарной</w:t>
      </w:r>
      <w:bookmarkStart w:id="0" w:name="_GoBack"/>
      <w:bookmarkEnd w:id="0"/>
      <w:r w:rsidRPr="008E6053">
        <w:rPr>
          <w:bCs/>
          <w:sz w:val="28"/>
          <w:szCs w:val="28"/>
        </w:rPr>
        <w:t xml:space="preserve"> номенклатуры внешнеэкономической деятельности </w:t>
      </w:r>
      <w:hyperlink r:id="rId21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 в субпозиции 8708 50</w:t>
      </w:r>
      <w:r w:rsidR="00FB42E6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единой Товарной номенклатуры внешнеэкономической деятельности Евразийского экономического союза.</w:t>
      </w:r>
    </w:p>
    <w:p w:rsidR="00EE540A" w:rsidRPr="008E6053" w:rsidRDefault="00E762F2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inline distT="0" distB="0" distL="0" distR="0">
            <wp:extent cx="6153150" cy="2343150"/>
            <wp:effectExtent l="19050" t="0" r="0" b="0"/>
            <wp:docPr id="5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b="524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0A" w:rsidRPr="008E6053" w:rsidRDefault="00EE540A" w:rsidP="008E6053">
      <w:pPr>
        <w:ind w:firstLine="426"/>
        <w:jc w:val="center"/>
        <w:rPr>
          <w:sz w:val="28"/>
          <w:szCs w:val="28"/>
        </w:rPr>
      </w:pPr>
      <w:r w:rsidRPr="008E6053">
        <w:rPr>
          <w:sz w:val="28"/>
          <w:szCs w:val="28"/>
        </w:rPr>
        <w:t>Рис. 6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bCs/>
          <w:sz w:val="28"/>
          <w:szCs w:val="28"/>
        </w:rPr>
        <w:t xml:space="preserve">12. Кованое наружное кольцо для узла ступицы с коническим роликовым подшипником в незавершенном виде (рис. 7) (внешний диаметр 96 мм, диаметр фланца 159 мм). Наружное кольцо имеет форму и габариты готового фланца, но необходима токарная, термическая обработка и шлифовка, прежде чем его можно будет использовать в качестве внешнего кольца. Не имеет двойного ряда колец для роликов и не имеет отверстий для болтов на фланце, в соответствии </w:t>
      </w:r>
      <w:r w:rsidRPr="008E6053">
        <w:rPr>
          <w:bCs/>
          <w:sz w:val="28"/>
          <w:szCs w:val="28"/>
        </w:rPr>
        <w:br/>
        <w:t xml:space="preserve">с Основными правилами интерпретации Товарной номенклатуры внешнеэкономической деятельности </w:t>
      </w:r>
      <w:hyperlink r:id="rId23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классифицируется в субпозиции </w:t>
      </w:r>
      <w:r w:rsidRPr="008E6053">
        <w:rPr>
          <w:bCs/>
          <w:sz w:val="28"/>
          <w:szCs w:val="28"/>
        </w:rPr>
        <w:br/>
        <w:t>8708 50</w:t>
      </w:r>
      <w:r w:rsidR="00640AF1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>единой Товарной номенклатуры внешнеэкономической деятельности Евразийского экономического союза.</w:t>
      </w:r>
    </w:p>
    <w:p w:rsidR="00EE540A" w:rsidRPr="008E6053" w:rsidRDefault="00E762F2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inline distT="0" distB="0" distL="0" distR="0">
            <wp:extent cx="5276850" cy="2095500"/>
            <wp:effectExtent l="19050" t="0" r="0" b="0"/>
            <wp:docPr id="6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 t="50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40A" w:rsidRPr="008E6053" w:rsidRDefault="00EE540A" w:rsidP="008E6053">
      <w:pPr>
        <w:ind w:firstLine="426"/>
        <w:jc w:val="center"/>
        <w:rPr>
          <w:sz w:val="28"/>
          <w:szCs w:val="28"/>
        </w:rPr>
      </w:pPr>
      <w:r w:rsidRPr="008E6053">
        <w:rPr>
          <w:sz w:val="28"/>
          <w:szCs w:val="28"/>
        </w:rPr>
        <w:t>Рис. 7</w:t>
      </w:r>
    </w:p>
    <w:p w:rsidR="00EE540A" w:rsidRPr="008E6053" w:rsidRDefault="00EE540A" w:rsidP="008E6053">
      <w:pPr>
        <w:ind w:firstLine="426"/>
        <w:jc w:val="both"/>
        <w:rPr>
          <w:bCs/>
          <w:sz w:val="28"/>
          <w:szCs w:val="28"/>
        </w:rPr>
      </w:pPr>
      <w:r w:rsidRPr="008E6053">
        <w:rPr>
          <w:color w:val="000000"/>
          <w:sz w:val="28"/>
          <w:szCs w:val="28"/>
        </w:rPr>
        <w:t>13. Щетки стеклоочистителя ветрового стекла изготовлены</w:t>
      </w:r>
      <w:r w:rsidRPr="008E6053">
        <w:rPr>
          <w:color w:val="000000"/>
          <w:sz w:val="28"/>
          <w:szCs w:val="28"/>
        </w:rPr>
        <w:br/>
        <w:t xml:space="preserve">из синтетического или натурального каучука, металлических кронштейнов, </w:t>
      </w:r>
      <w:r w:rsidRPr="008E6053">
        <w:rPr>
          <w:color w:val="000000"/>
          <w:sz w:val="28"/>
          <w:szCs w:val="28"/>
        </w:rPr>
        <w:br/>
        <w:t>а также из предварительно собранных универсальных адаптеров (рис. 8, рис. 9). Изделие предназначено для использования с электрическими стеклоочистителями в автомобилях, и</w:t>
      </w:r>
      <w:r w:rsidR="00061040" w:rsidRPr="008E6053">
        <w:rPr>
          <w:color w:val="000000"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 xml:space="preserve">в соответствии с Основными правилами </w:t>
      </w:r>
      <w:r w:rsidRPr="008E6053">
        <w:rPr>
          <w:bCs/>
          <w:sz w:val="28"/>
          <w:szCs w:val="28"/>
        </w:rPr>
        <w:lastRenderedPageBreak/>
        <w:t xml:space="preserve">интерпретации Товарной номенклатуры внешнеэкономической деятельности </w:t>
      </w:r>
      <w:hyperlink r:id="rId24" w:history="1">
        <w:r w:rsidRPr="008E6053">
          <w:rPr>
            <w:bCs/>
            <w:sz w:val="28"/>
            <w:szCs w:val="28"/>
          </w:rPr>
          <w:t>1</w:t>
        </w:r>
      </w:hyperlink>
      <w:r w:rsidRPr="008E6053">
        <w:rPr>
          <w:bCs/>
          <w:sz w:val="28"/>
          <w:szCs w:val="28"/>
        </w:rPr>
        <w:t xml:space="preserve"> и 6 классифицируются в субпозиции 8512 90</w:t>
      </w:r>
      <w:r w:rsidR="00061040" w:rsidRPr="008E6053">
        <w:rPr>
          <w:bCs/>
          <w:sz w:val="28"/>
          <w:szCs w:val="28"/>
        </w:rPr>
        <w:t xml:space="preserve"> </w:t>
      </w:r>
      <w:r w:rsidRPr="008E6053">
        <w:rPr>
          <w:bCs/>
          <w:sz w:val="28"/>
          <w:szCs w:val="28"/>
        </w:rPr>
        <w:t xml:space="preserve">единой Товарной номенклатуры внешнеэкономической деятельности Евразийского экономического союза. </w:t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762F2" w:rsidP="008E6053">
      <w:pPr>
        <w:ind w:firstLine="426"/>
        <w:jc w:val="both"/>
        <w:rPr>
          <w:sz w:val="28"/>
          <w:szCs w:val="28"/>
        </w:rPr>
      </w:pPr>
      <w:r w:rsidRPr="008E6053">
        <w:rPr>
          <w:noProof/>
          <w:sz w:val="28"/>
          <w:szCs w:val="28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99695</wp:posOffset>
            </wp:positionV>
            <wp:extent cx="6316980" cy="1394460"/>
            <wp:effectExtent l="19050" t="0" r="7620" b="0"/>
            <wp:wrapNone/>
            <wp:docPr id="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6980" cy="1394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both"/>
        <w:rPr>
          <w:sz w:val="28"/>
          <w:szCs w:val="28"/>
        </w:rPr>
      </w:pPr>
    </w:p>
    <w:p w:rsidR="00EE540A" w:rsidRPr="008E6053" w:rsidRDefault="00EE540A" w:rsidP="008E6053">
      <w:pPr>
        <w:ind w:firstLine="426"/>
        <w:jc w:val="center"/>
        <w:rPr>
          <w:sz w:val="28"/>
          <w:szCs w:val="28"/>
        </w:rPr>
      </w:pPr>
      <w:r w:rsidRPr="008E6053">
        <w:rPr>
          <w:sz w:val="28"/>
          <w:szCs w:val="28"/>
        </w:rPr>
        <w:t>Рис. 8</w:t>
      </w:r>
      <w:r w:rsidRPr="008E6053">
        <w:rPr>
          <w:sz w:val="28"/>
          <w:szCs w:val="28"/>
        </w:rPr>
        <w:tab/>
        <w:t>Рис. 9</w:t>
      </w:r>
    </w:p>
    <w:p w:rsidR="001A67ED" w:rsidRPr="008E6053" w:rsidRDefault="001A67ED" w:rsidP="008E6053">
      <w:pPr>
        <w:ind w:firstLine="426"/>
        <w:jc w:val="both"/>
        <w:rPr>
          <w:sz w:val="28"/>
          <w:szCs w:val="28"/>
        </w:rPr>
      </w:pPr>
    </w:p>
    <w:sectPr w:rsidR="001A67ED" w:rsidRPr="008E6053" w:rsidSect="008E6053">
      <w:headerReference w:type="even" r:id="rId26"/>
      <w:headerReference w:type="default" r:id="rId27"/>
      <w:pgSz w:w="11906" w:h="16838"/>
      <w:pgMar w:top="567" w:right="567" w:bottom="709" w:left="1701" w:header="113" w:footer="11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95E" w:rsidRDefault="0079495E">
      <w:r>
        <w:separator/>
      </w:r>
    </w:p>
  </w:endnote>
  <w:endnote w:type="continuationSeparator" w:id="0">
    <w:p w:rsidR="0079495E" w:rsidRDefault="0079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95E" w:rsidRDefault="0079495E">
      <w:r>
        <w:separator/>
      </w:r>
    </w:p>
  </w:footnote>
  <w:footnote w:type="continuationSeparator" w:id="0">
    <w:p w:rsidR="0079495E" w:rsidRDefault="007949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FE50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FE503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24C65">
      <w:rPr>
        <w:rStyle w:val="a7"/>
        <w:noProof/>
      </w:rPr>
      <w:t>4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93172A"/>
    <w:multiLevelType w:val="multilevel"/>
    <w:tmpl w:val="AD368A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00793"/>
    <w:rsid w:val="00004B23"/>
    <w:rsid w:val="00005865"/>
    <w:rsid w:val="00012917"/>
    <w:rsid w:val="00016437"/>
    <w:rsid w:val="00017859"/>
    <w:rsid w:val="00044155"/>
    <w:rsid w:val="000467E8"/>
    <w:rsid w:val="000575EC"/>
    <w:rsid w:val="00061040"/>
    <w:rsid w:val="0006262B"/>
    <w:rsid w:val="00065679"/>
    <w:rsid w:val="00067239"/>
    <w:rsid w:val="0007504D"/>
    <w:rsid w:val="00094609"/>
    <w:rsid w:val="000A6980"/>
    <w:rsid w:val="000A7012"/>
    <w:rsid w:val="000B52AF"/>
    <w:rsid w:val="000B784B"/>
    <w:rsid w:val="000C193F"/>
    <w:rsid w:val="000C679F"/>
    <w:rsid w:val="000D387B"/>
    <w:rsid w:val="000D7CEC"/>
    <w:rsid w:val="000E2B84"/>
    <w:rsid w:val="000E79F0"/>
    <w:rsid w:val="000F3D3C"/>
    <w:rsid w:val="00105126"/>
    <w:rsid w:val="00120009"/>
    <w:rsid w:val="0013499D"/>
    <w:rsid w:val="00137F4A"/>
    <w:rsid w:val="00147DCF"/>
    <w:rsid w:val="001535B3"/>
    <w:rsid w:val="00153776"/>
    <w:rsid w:val="0015757D"/>
    <w:rsid w:val="00172CB0"/>
    <w:rsid w:val="001816EA"/>
    <w:rsid w:val="001911DB"/>
    <w:rsid w:val="00193F90"/>
    <w:rsid w:val="001A45F3"/>
    <w:rsid w:val="001A67ED"/>
    <w:rsid w:val="001A7DBA"/>
    <w:rsid w:val="001B08BE"/>
    <w:rsid w:val="001D0542"/>
    <w:rsid w:val="001D4106"/>
    <w:rsid w:val="001D7AE0"/>
    <w:rsid w:val="001E6223"/>
    <w:rsid w:val="001F7BB8"/>
    <w:rsid w:val="00200A5E"/>
    <w:rsid w:val="002057F2"/>
    <w:rsid w:val="002100F3"/>
    <w:rsid w:val="00211A5D"/>
    <w:rsid w:val="00214249"/>
    <w:rsid w:val="002142C0"/>
    <w:rsid w:val="00225CBB"/>
    <w:rsid w:val="0022615E"/>
    <w:rsid w:val="00231319"/>
    <w:rsid w:val="00231EC1"/>
    <w:rsid w:val="00241623"/>
    <w:rsid w:val="00246331"/>
    <w:rsid w:val="0026297C"/>
    <w:rsid w:val="002657B7"/>
    <w:rsid w:val="0026690D"/>
    <w:rsid w:val="00280055"/>
    <w:rsid w:val="002832FF"/>
    <w:rsid w:val="00283537"/>
    <w:rsid w:val="002929B0"/>
    <w:rsid w:val="00294880"/>
    <w:rsid w:val="00295B77"/>
    <w:rsid w:val="002A5E1C"/>
    <w:rsid w:val="002A6F7B"/>
    <w:rsid w:val="002B6525"/>
    <w:rsid w:val="002C79B0"/>
    <w:rsid w:val="002D4D7B"/>
    <w:rsid w:val="002F173E"/>
    <w:rsid w:val="003019AA"/>
    <w:rsid w:val="00301DA8"/>
    <w:rsid w:val="00302376"/>
    <w:rsid w:val="00304817"/>
    <w:rsid w:val="0031087D"/>
    <w:rsid w:val="003151BC"/>
    <w:rsid w:val="00322F12"/>
    <w:rsid w:val="00331AC0"/>
    <w:rsid w:val="003420C7"/>
    <w:rsid w:val="00344116"/>
    <w:rsid w:val="0034697B"/>
    <w:rsid w:val="00356547"/>
    <w:rsid w:val="00356F77"/>
    <w:rsid w:val="00366CE3"/>
    <w:rsid w:val="0037251B"/>
    <w:rsid w:val="003759C6"/>
    <w:rsid w:val="003804EA"/>
    <w:rsid w:val="003815AE"/>
    <w:rsid w:val="00382185"/>
    <w:rsid w:val="0038766B"/>
    <w:rsid w:val="003964FF"/>
    <w:rsid w:val="003975FC"/>
    <w:rsid w:val="003A57E8"/>
    <w:rsid w:val="003B6DD8"/>
    <w:rsid w:val="003B7032"/>
    <w:rsid w:val="003C4CD7"/>
    <w:rsid w:val="003C6DBB"/>
    <w:rsid w:val="003D413B"/>
    <w:rsid w:val="003D490D"/>
    <w:rsid w:val="003E0F9C"/>
    <w:rsid w:val="003F2C58"/>
    <w:rsid w:val="004110E4"/>
    <w:rsid w:val="00426676"/>
    <w:rsid w:val="00433768"/>
    <w:rsid w:val="00433CAE"/>
    <w:rsid w:val="004340D4"/>
    <w:rsid w:val="0044283A"/>
    <w:rsid w:val="00457360"/>
    <w:rsid w:val="004607D0"/>
    <w:rsid w:val="00465A47"/>
    <w:rsid w:val="00471187"/>
    <w:rsid w:val="004747CE"/>
    <w:rsid w:val="004827F8"/>
    <w:rsid w:val="004A7040"/>
    <w:rsid w:val="004B13C6"/>
    <w:rsid w:val="004B4BA8"/>
    <w:rsid w:val="004C01A9"/>
    <w:rsid w:val="004C50A5"/>
    <w:rsid w:val="004D406B"/>
    <w:rsid w:val="004E0547"/>
    <w:rsid w:val="004E3D96"/>
    <w:rsid w:val="004E6CDF"/>
    <w:rsid w:val="005002E2"/>
    <w:rsid w:val="00501B5D"/>
    <w:rsid w:val="0050282D"/>
    <w:rsid w:val="00503BB5"/>
    <w:rsid w:val="005057D3"/>
    <w:rsid w:val="00511A0B"/>
    <w:rsid w:val="00515714"/>
    <w:rsid w:val="0052571E"/>
    <w:rsid w:val="00531BB7"/>
    <w:rsid w:val="005346D8"/>
    <w:rsid w:val="00537353"/>
    <w:rsid w:val="0053781F"/>
    <w:rsid w:val="00540C42"/>
    <w:rsid w:val="00550D30"/>
    <w:rsid w:val="00551331"/>
    <w:rsid w:val="00556056"/>
    <w:rsid w:val="00564114"/>
    <w:rsid w:val="0056515C"/>
    <w:rsid w:val="00570974"/>
    <w:rsid w:val="00572702"/>
    <w:rsid w:val="00572FAA"/>
    <w:rsid w:val="005A3978"/>
    <w:rsid w:val="005B2AF7"/>
    <w:rsid w:val="005B4EA9"/>
    <w:rsid w:val="005B5F74"/>
    <w:rsid w:val="005C1335"/>
    <w:rsid w:val="005D0C91"/>
    <w:rsid w:val="005D1097"/>
    <w:rsid w:val="005D709C"/>
    <w:rsid w:val="005E06EC"/>
    <w:rsid w:val="005E5247"/>
    <w:rsid w:val="005E6B4E"/>
    <w:rsid w:val="005E7B3B"/>
    <w:rsid w:val="00602421"/>
    <w:rsid w:val="00605FDA"/>
    <w:rsid w:val="00606F25"/>
    <w:rsid w:val="00610D76"/>
    <w:rsid w:val="00620694"/>
    <w:rsid w:val="00623776"/>
    <w:rsid w:val="00625AB9"/>
    <w:rsid w:val="00626EAC"/>
    <w:rsid w:val="00627ABD"/>
    <w:rsid w:val="00632B1C"/>
    <w:rsid w:val="00640AF1"/>
    <w:rsid w:val="006462A2"/>
    <w:rsid w:val="006479C3"/>
    <w:rsid w:val="006574EF"/>
    <w:rsid w:val="00670AAA"/>
    <w:rsid w:val="0067522A"/>
    <w:rsid w:val="00682CB5"/>
    <w:rsid w:val="00690FD1"/>
    <w:rsid w:val="00693EBC"/>
    <w:rsid w:val="00693FE6"/>
    <w:rsid w:val="006B16CE"/>
    <w:rsid w:val="006B3209"/>
    <w:rsid w:val="006B3FD7"/>
    <w:rsid w:val="006C0425"/>
    <w:rsid w:val="006C0997"/>
    <w:rsid w:val="006C2D9A"/>
    <w:rsid w:val="006D0B90"/>
    <w:rsid w:val="006D2760"/>
    <w:rsid w:val="006D4462"/>
    <w:rsid w:val="006D62D3"/>
    <w:rsid w:val="006E5BF1"/>
    <w:rsid w:val="006F54ED"/>
    <w:rsid w:val="00723031"/>
    <w:rsid w:val="00725A92"/>
    <w:rsid w:val="007329B9"/>
    <w:rsid w:val="007433A1"/>
    <w:rsid w:val="007503F1"/>
    <w:rsid w:val="007633E0"/>
    <w:rsid w:val="00771102"/>
    <w:rsid w:val="00774ADF"/>
    <w:rsid w:val="00776C99"/>
    <w:rsid w:val="00780694"/>
    <w:rsid w:val="007857E7"/>
    <w:rsid w:val="007859F2"/>
    <w:rsid w:val="00790190"/>
    <w:rsid w:val="007940EF"/>
    <w:rsid w:val="0079495E"/>
    <w:rsid w:val="007A2608"/>
    <w:rsid w:val="007A498B"/>
    <w:rsid w:val="007A5C9F"/>
    <w:rsid w:val="007B0AD7"/>
    <w:rsid w:val="007C2ACB"/>
    <w:rsid w:val="007C6074"/>
    <w:rsid w:val="007C73FF"/>
    <w:rsid w:val="007D1B87"/>
    <w:rsid w:val="007D3464"/>
    <w:rsid w:val="007D4701"/>
    <w:rsid w:val="007D5793"/>
    <w:rsid w:val="007E2433"/>
    <w:rsid w:val="007F27C7"/>
    <w:rsid w:val="00801E28"/>
    <w:rsid w:val="00803C7B"/>
    <w:rsid w:val="008129E4"/>
    <w:rsid w:val="008153AC"/>
    <w:rsid w:val="0083134F"/>
    <w:rsid w:val="00831761"/>
    <w:rsid w:val="00832DCF"/>
    <w:rsid w:val="0083465D"/>
    <w:rsid w:val="0084485A"/>
    <w:rsid w:val="0084644E"/>
    <w:rsid w:val="008518CD"/>
    <w:rsid w:val="008560D3"/>
    <w:rsid w:val="0085724C"/>
    <w:rsid w:val="00862F6F"/>
    <w:rsid w:val="00867E0B"/>
    <w:rsid w:val="00867F04"/>
    <w:rsid w:val="00875977"/>
    <w:rsid w:val="00884552"/>
    <w:rsid w:val="008B0675"/>
    <w:rsid w:val="008B5F21"/>
    <w:rsid w:val="008C07CC"/>
    <w:rsid w:val="008C503A"/>
    <w:rsid w:val="008C6A7E"/>
    <w:rsid w:val="008D19FB"/>
    <w:rsid w:val="008D403B"/>
    <w:rsid w:val="008D4CB3"/>
    <w:rsid w:val="008E0CBF"/>
    <w:rsid w:val="008E6053"/>
    <w:rsid w:val="008F5D35"/>
    <w:rsid w:val="008F776B"/>
    <w:rsid w:val="008F77AE"/>
    <w:rsid w:val="00906FC0"/>
    <w:rsid w:val="0091432D"/>
    <w:rsid w:val="0093235F"/>
    <w:rsid w:val="0093343A"/>
    <w:rsid w:val="0093430D"/>
    <w:rsid w:val="00944030"/>
    <w:rsid w:val="00950CB3"/>
    <w:rsid w:val="00952014"/>
    <w:rsid w:val="00970EDA"/>
    <w:rsid w:val="009763AB"/>
    <w:rsid w:val="00982419"/>
    <w:rsid w:val="0098712A"/>
    <w:rsid w:val="0099016B"/>
    <w:rsid w:val="00991533"/>
    <w:rsid w:val="00995EE1"/>
    <w:rsid w:val="00996443"/>
    <w:rsid w:val="00996AB7"/>
    <w:rsid w:val="00996D03"/>
    <w:rsid w:val="009A20C5"/>
    <w:rsid w:val="009A70A0"/>
    <w:rsid w:val="009B0841"/>
    <w:rsid w:val="009B2E60"/>
    <w:rsid w:val="009B6ABF"/>
    <w:rsid w:val="009C15EE"/>
    <w:rsid w:val="009D57E6"/>
    <w:rsid w:val="009E073D"/>
    <w:rsid w:val="009E2225"/>
    <w:rsid w:val="009E440A"/>
    <w:rsid w:val="009F659F"/>
    <w:rsid w:val="00A0515B"/>
    <w:rsid w:val="00A05E17"/>
    <w:rsid w:val="00A07636"/>
    <w:rsid w:val="00A22EB4"/>
    <w:rsid w:val="00A240A2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794D"/>
    <w:rsid w:val="00A620C6"/>
    <w:rsid w:val="00A67AAF"/>
    <w:rsid w:val="00A767EC"/>
    <w:rsid w:val="00A83092"/>
    <w:rsid w:val="00A87A51"/>
    <w:rsid w:val="00AA0BC6"/>
    <w:rsid w:val="00AA32A4"/>
    <w:rsid w:val="00AB16F4"/>
    <w:rsid w:val="00AB4187"/>
    <w:rsid w:val="00AB5B31"/>
    <w:rsid w:val="00AC1442"/>
    <w:rsid w:val="00AD4953"/>
    <w:rsid w:val="00AD7337"/>
    <w:rsid w:val="00AD7E49"/>
    <w:rsid w:val="00AE0488"/>
    <w:rsid w:val="00AE16EF"/>
    <w:rsid w:val="00AE1EC8"/>
    <w:rsid w:val="00AE6E1A"/>
    <w:rsid w:val="00AF7C10"/>
    <w:rsid w:val="00B115D6"/>
    <w:rsid w:val="00B202C2"/>
    <w:rsid w:val="00B2124B"/>
    <w:rsid w:val="00B2125E"/>
    <w:rsid w:val="00B21E08"/>
    <w:rsid w:val="00B30DAC"/>
    <w:rsid w:val="00B41AC2"/>
    <w:rsid w:val="00B41DE0"/>
    <w:rsid w:val="00B432A7"/>
    <w:rsid w:val="00B45327"/>
    <w:rsid w:val="00B5266D"/>
    <w:rsid w:val="00B52E27"/>
    <w:rsid w:val="00B54C1A"/>
    <w:rsid w:val="00B5760E"/>
    <w:rsid w:val="00B651CC"/>
    <w:rsid w:val="00B71135"/>
    <w:rsid w:val="00B90356"/>
    <w:rsid w:val="00B97291"/>
    <w:rsid w:val="00BA06FB"/>
    <w:rsid w:val="00BA4F0E"/>
    <w:rsid w:val="00BB7DAC"/>
    <w:rsid w:val="00BC032A"/>
    <w:rsid w:val="00BC21ED"/>
    <w:rsid w:val="00BC671A"/>
    <w:rsid w:val="00BC7580"/>
    <w:rsid w:val="00BE1C4D"/>
    <w:rsid w:val="00BE2026"/>
    <w:rsid w:val="00BE2ABB"/>
    <w:rsid w:val="00BE397C"/>
    <w:rsid w:val="00BE3AD5"/>
    <w:rsid w:val="00BE4716"/>
    <w:rsid w:val="00BF3B05"/>
    <w:rsid w:val="00BF4EAD"/>
    <w:rsid w:val="00C00E81"/>
    <w:rsid w:val="00C02A6C"/>
    <w:rsid w:val="00C06251"/>
    <w:rsid w:val="00C158D9"/>
    <w:rsid w:val="00C17FC1"/>
    <w:rsid w:val="00C25D18"/>
    <w:rsid w:val="00C41C2F"/>
    <w:rsid w:val="00C4446B"/>
    <w:rsid w:val="00C579F0"/>
    <w:rsid w:val="00C61004"/>
    <w:rsid w:val="00C6187E"/>
    <w:rsid w:val="00C61B79"/>
    <w:rsid w:val="00C62AE1"/>
    <w:rsid w:val="00C714B0"/>
    <w:rsid w:val="00C934B3"/>
    <w:rsid w:val="00CA2346"/>
    <w:rsid w:val="00CA36CD"/>
    <w:rsid w:val="00CA63FD"/>
    <w:rsid w:val="00CD126C"/>
    <w:rsid w:val="00CD4CE2"/>
    <w:rsid w:val="00CD5DE6"/>
    <w:rsid w:val="00CE0B47"/>
    <w:rsid w:val="00CE5B7A"/>
    <w:rsid w:val="00CE643F"/>
    <w:rsid w:val="00CF129A"/>
    <w:rsid w:val="00D01577"/>
    <w:rsid w:val="00D06448"/>
    <w:rsid w:val="00D11655"/>
    <w:rsid w:val="00D25DE6"/>
    <w:rsid w:val="00D334A2"/>
    <w:rsid w:val="00D336CB"/>
    <w:rsid w:val="00D4100F"/>
    <w:rsid w:val="00D51F4C"/>
    <w:rsid w:val="00D57287"/>
    <w:rsid w:val="00D73745"/>
    <w:rsid w:val="00D8760E"/>
    <w:rsid w:val="00D97082"/>
    <w:rsid w:val="00D970F2"/>
    <w:rsid w:val="00DB5BD6"/>
    <w:rsid w:val="00DC05F4"/>
    <w:rsid w:val="00DC1921"/>
    <w:rsid w:val="00DC1D75"/>
    <w:rsid w:val="00DD34C6"/>
    <w:rsid w:val="00DE1AA3"/>
    <w:rsid w:val="00DE49B2"/>
    <w:rsid w:val="00DF0EB3"/>
    <w:rsid w:val="00E1568D"/>
    <w:rsid w:val="00E17368"/>
    <w:rsid w:val="00E20C2F"/>
    <w:rsid w:val="00E26740"/>
    <w:rsid w:val="00E27330"/>
    <w:rsid w:val="00E3347A"/>
    <w:rsid w:val="00E35311"/>
    <w:rsid w:val="00E4465F"/>
    <w:rsid w:val="00E4553D"/>
    <w:rsid w:val="00E4589A"/>
    <w:rsid w:val="00E459BA"/>
    <w:rsid w:val="00E46041"/>
    <w:rsid w:val="00E6241E"/>
    <w:rsid w:val="00E632C5"/>
    <w:rsid w:val="00E65630"/>
    <w:rsid w:val="00E66EF3"/>
    <w:rsid w:val="00E762F2"/>
    <w:rsid w:val="00E82F9F"/>
    <w:rsid w:val="00E841DF"/>
    <w:rsid w:val="00EA410F"/>
    <w:rsid w:val="00EB0D9F"/>
    <w:rsid w:val="00EC7B2E"/>
    <w:rsid w:val="00ED1DE2"/>
    <w:rsid w:val="00ED505D"/>
    <w:rsid w:val="00ED639E"/>
    <w:rsid w:val="00EE540A"/>
    <w:rsid w:val="00EE6E24"/>
    <w:rsid w:val="00EE71FC"/>
    <w:rsid w:val="00EF5322"/>
    <w:rsid w:val="00F03552"/>
    <w:rsid w:val="00F06C58"/>
    <w:rsid w:val="00F164AD"/>
    <w:rsid w:val="00F24C65"/>
    <w:rsid w:val="00F27DEB"/>
    <w:rsid w:val="00F34846"/>
    <w:rsid w:val="00F34C53"/>
    <w:rsid w:val="00F4143E"/>
    <w:rsid w:val="00F449BF"/>
    <w:rsid w:val="00F57454"/>
    <w:rsid w:val="00F57F1C"/>
    <w:rsid w:val="00F653FD"/>
    <w:rsid w:val="00F8758F"/>
    <w:rsid w:val="00F97386"/>
    <w:rsid w:val="00FA1812"/>
    <w:rsid w:val="00FB04C4"/>
    <w:rsid w:val="00FB30EA"/>
    <w:rsid w:val="00FB42E6"/>
    <w:rsid w:val="00FB5CB2"/>
    <w:rsid w:val="00FC35AF"/>
    <w:rsid w:val="00FC6D76"/>
    <w:rsid w:val="00FD2C9D"/>
    <w:rsid w:val="00FD5B82"/>
    <w:rsid w:val="00FD74DD"/>
    <w:rsid w:val="00FE219A"/>
    <w:rsid w:val="00FE3ED1"/>
    <w:rsid w:val="00FE503F"/>
    <w:rsid w:val="00FF07C0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47E357-AB67-4498-8B85-E2C16010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053"/>
  </w:style>
  <w:style w:type="paragraph" w:styleId="1">
    <w:name w:val="heading 1"/>
    <w:basedOn w:val="a"/>
    <w:next w:val="a"/>
    <w:qFormat/>
    <w:rsid w:val="00FE503F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E503F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FE503F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E503F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FE503F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FE503F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FE503F"/>
    <w:pPr>
      <w:ind w:firstLine="709"/>
      <w:jc w:val="both"/>
    </w:pPr>
    <w:rPr>
      <w:sz w:val="26"/>
    </w:rPr>
  </w:style>
  <w:style w:type="paragraph" w:styleId="a6">
    <w:name w:val="header"/>
    <w:basedOn w:val="a"/>
    <w:rsid w:val="00FE503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E503F"/>
  </w:style>
  <w:style w:type="table" w:styleId="a8">
    <w:name w:val="Table Grid"/>
    <w:basedOn w:val="a1"/>
    <w:uiPriority w:val="59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basedOn w:val="a0"/>
    <w:link w:val="10"/>
    <w:rsid w:val="005D1097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a"/>
    <w:rsid w:val="005D1097"/>
    <w:pPr>
      <w:widowControl w:val="0"/>
      <w:shd w:val="clear" w:color="auto" w:fill="FFFFFF"/>
      <w:spacing w:before="480" w:after="300" w:line="346" w:lineRule="exact"/>
      <w:ind w:hanging="4340"/>
      <w:jc w:val="both"/>
    </w:pPr>
    <w:rPr>
      <w:sz w:val="26"/>
      <w:szCs w:val="26"/>
    </w:rPr>
  </w:style>
  <w:style w:type="paragraph" w:styleId="7">
    <w:name w:val="toc 7"/>
    <w:uiPriority w:val="39"/>
    <w:unhideWhenUsed/>
    <w:rsid w:val="00EE540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/>
      <w:ind w:left="1701"/>
    </w:pPr>
    <w:rPr>
      <w:szCs w:val="22"/>
      <w:lang w:eastAsia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7A5C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A5C9F"/>
    <w:rPr>
      <w:rFonts w:ascii="Tahoma" w:hAnsi="Tahoma" w:cs="Tahoma"/>
      <w:sz w:val="16"/>
      <w:szCs w:val="16"/>
    </w:rPr>
  </w:style>
  <w:style w:type="paragraph" w:styleId="ad">
    <w:name w:val="footer"/>
    <w:basedOn w:val="a"/>
    <w:link w:val="ae"/>
    <w:uiPriority w:val="99"/>
    <w:unhideWhenUsed/>
    <w:rsid w:val="008E605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E6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3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8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7" Type="http://schemas.openxmlformats.org/officeDocument/2006/relationships/image" Target="media/image3.png"/><Relationship Id="rId25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24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23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hyperlink" Target="consultantplus://offline/ref=FBE693D161473020664442B803DCF122214ABCE1EBB36105736B398B9E7C8CD4AA3FE0D3240398CADC7F489C0A4E70BAD3832BCF83040AEFF5J" TargetMode="External"/><Relationship Id="rId22" Type="http://schemas.openxmlformats.org/officeDocument/2006/relationships/image" Target="media/image6.png"/><Relationship Id="rId27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9E2D-0054-44B9-B56B-1538C5BA6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/>
  <LinksUpToDate>false</LinksUpToDate>
  <CharactersWithSpaces>11596</CharactersWithSpaces>
  <SharedDoc>false</SharedDoc>
  <HLinks>
    <vt:vector size="66" baseType="variant">
      <vt:variant>
        <vt:i4>5046278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  <vt:variant>
        <vt:i4>5046278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consultantplus://offline/ref=FBE693D161473020664442B803DCF122214ABCE1EBB36105736B398B9E7C8CD4AA3FE0D3240398CADC7F489C0A4E70BAD3832BCF83040AEFF5J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2015-10-12T13:05:00Z</cp:lastPrinted>
  <dcterms:created xsi:type="dcterms:W3CDTF">2023-08-17T12:48:00Z</dcterms:created>
  <dcterms:modified xsi:type="dcterms:W3CDTF">2023-08-17T12:48:00Z</dcterms:modified>
</cp:coreProperties>
</file>