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EAF" w:rsidRDefault="005D4EAF">
      <w:pPr>
        <w:pStyle w:val="ConsPlusTitle"/>
        <w:jc w:val="center"/>
        <w:outlineLvl w:val="0"/>
      </w:pPr>
      <w:r>
        <w:t>РЕШЕНИЕ СОВЕТА ЕВРАЗИЙСКОЙ ЭКОНОМИЧЕСКОЙ КОМИССИИ</w:t>
      </w:r>
    </w:p>
    <w:p w:rsidR="005D4EAF" w:rsidRDefault="005D4EAF">
      <w:pPr>
        <w:pStyle w:val="ConsPlusTitle"/>
        <w:jc w:val="center"/>
      </w:pPr>
      <w:r>
        <w:t>6 апреля 2016 г. N 47</w:t>
      </w:r>
    </w:p>
    <w:p w:rsidR="005D4EAF" w:rsidRDefault="005D4EAF">
      <w:pPr>
        <w:pStyle w:val="ConsPlusTitle"/>
        <w:jc w:val="center"/>
      </w:pPr>
    </w:p>
    <w:p w:rsidR="005D4EAF" w:rsidRDefault="005D4EAF">
      <w:pPr>
        <w:pStyle w:val="ConsPlusTitle"/>
        <w:jc w:val="center"/>
      </w:pPr>
      <w:r>
        <w:t>ОБ УТВЕРЖДЕНИИ ПОЛОЖЕНИЯ ОБ УСЛОВИЯХ И ПОРЯДКЕ ПРИМЕНЕНИЯ ЕДИНОЙ СИСТЕМЫ ТАРИФНЫХ ПРЕФЕРЕНЦИЙ ЕВРАЗИЙСКОГО ЭКОНОМИЧЕСКОГО СОЮЗА</w:t>
      </w:r>
    </w:p>
    <w:p w:rsidR="005D4EAF" w:rsidRDefault="005D4E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D4E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4EAF" w:rsidRDefault="005D4E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ЕЭК от 19.12.2019 N 122)</w:t>
            </w:r>
          </w:p>
        </w:tc>
      </w:tr>
    </w:tbl>
    <w:p w:rsidR="005D4EAF" w:rsidRDefault="005D4EAF">
      <w:pPr>
        <w:pStyle w:val="ConsPlusNormal"/>
      </w:pPr>
    </w:p>
    <w:p w:rsidR="005D4EAF" w:rsidRDefault="005D4EAF">
      <w:pPr>
        <w:pStyle w:val="ConsPlusNormal"/>
        <w:ind w:firstLine="540"/>
        <w:jc w:val="both"/>
      </w:pPr>
      <w:r>
        <w:rPr>
          <w:i/>
        </w:rPr>
        <w:t>Вступило в силу 10 октября 2016 года</w:t>
      </w:r>
    </w:p>
    <w:p w:rsidR="005D4EAF" w:rsidRDefault="005D4EAF">
      <w:pPr>
        <w:pStyle w:val="ConsPlusNormal"/>
      </w:pPr>
    </w:p>
    <w:p w:rsidR="005D4EAF" w:rsidRDefault="005D4EA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45</w:t>
        </w:r>
      </w:hyperlink>
      <w:r>
        <w:t xml:space="preserve"> Договора о Евразийском экономическом союзе от 29 мая 2014 года, </w:t>
      </w:r>
      <w:hyperlink r:id="rId6" w:history="1">
        <w:r>
          <w:rPr>
            <w:color w:val="0000FF"/>
          </w:rPr>
          <w:t>пунктом 10</w:t>
        </w:r>
      </w:hyperlink>
      <w:r>
        <w:t xml:space="preserve"> приложения N 1 к Регламенту работы Евразийской экономической комиссии, утвержденному Решением Высшего Евразийского экономического совета от 23 декабря 2014 г. N 98, Совет Евразийской экономической комиссии РЕШИЛ: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29" w:history="1">
        <w:r>
          <w:rPr>
            <w:color w:val="0000FF"/>
          </w:rPr>
          <w:t>Положение</w:t>
        </w:r>
      </w:hyperlink>
      <w:r>
        <w:t xml:space="preserve"> об условиях и порядке применения единой системы тарифных преференций Евразийского экономического союза.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 xml:space="preserve">2. Настоящее Решение вступает в силу по истечении 90 календарных дней </w:t>
      </w:r>
      <w:proofErr w:type="gramStart"/>
      <w:r>
        <w:t>с</w:t>
      </w:r>
      <w:proofErr w:type="gramEnd"/>
      <w:r>
        <w:t xml:space="preserve"> даты его официального опубликования.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пунктом 2 раздела II</w:t>
        </w:r>
      </w:hyperlink>
      <w:r>
        <w:t xml:space="preserve"> приложения N 33 к Договору о Евразийском экономическом союзе от 29 мая 2014 года </w:t>
      </w:r>
      <w:proofErr w:type="gramStart"/>
      <w:r>
        <w:t>с даты вступления</w:t>
      </w:r>
      <w:proofErr w:type="gramEnd"/>
      <w:r>
        <w:t xml:space="preserve"> в силу настоящего Решения прекращает действие </w:t>
      </w:r>
      <w:hyperlink r:id="rId8" w:history="1">
        <w:r>
          <w:rPr>
            <w:color w:val="0000FF"/>
          </w:rPr>
          <w:t>Протокол</w:t>
        </w:r>
      </w:hyperlink>
      <w:r>
        <w:t xml:space="preserve"> о единой системе тарифных преференций Таможенного союза от 12 декабря 2008 года.</w:t>
      </w:r>
    </w:p>
    <w:p w:rsidR="005D4EAF" w:rsidRDefault="005D4EAF">
      <w:pPr>
        <w:pStyle w:val="ConsPlusNormal"/>
      </w:pPr>
    </w:p>
    <w:p w:rsidR="005D4EAF" w:rsidRDefault="005D4EAF">
      <w:pPr>
        <w:pStyle w:val="ConsPlusNormal"/>
        <w:jc w:val="center"/>
      </w:pPr>
      <w:r>
        <w:t>Члены Совета Евразийской экономической комиссии:</w:t>
      </w:r>
    </w:p>
    <w:p w:rsidR="005D4EAF" w:rsidRDefault="005D4EAF">
      <w:pPr>
        <w:pStyle w:val="ConsPlusNormal"/>
      </w:pPr>
    </w:p>
    <w:p w:rsidR="005D4EAF" w:rsidRDefault="005D4EAF">
      <w:pPr>
        <w:pStyle w:val="ConsPlusNonformat"/>
        <w:jc w:val="both"/>
      </w:pPr>
      <w:r>
        <w:t>От Республики</w:t>
      </w:r>
      <w:proofErr w:type="gramStart"/>
      <w:r>
        <w:t xml:space="preserve">  О</w:t>
      </w:r>
      <w:proofErr w:type="gramEnd"/>
      <w:r>
        <w:t>т Республики   От Республики  От Кыргызской   От Российской</w:t>
      </w:r>
    </w:p>
    <w:p w:rsidR="005D4EAF" w:rsidRDefault="005D4EAF">
      <w:pPr>
        <w:pStyle w:val="ConsPlusNonformat"/>
        <w:jc w:val="both"/>
      </w:pPr>
      <w:r>
        <w:t>Армения        Беларусь        Казахстан      Республики      Федерации</w:t>
      </w:r>
    </w:p>
    <w:p w:rsidR="005D4EAF" w:rsidRDefault="005D4EAF">
      <w:pPr>
        <w:pStyle w:val="ConsPlusNonformat"/>
        <w:jc w:val="both"/>
      </w:pPr>
      <w:r>
        <w:t xml:space="preserve"> В.Габриелян    </w:t>
      </w:r>
      <w:proofErr w:type="spellStart"/>
      <w:r>
        <w:t>В.Матюшевский</w:t>
      </w:r>
      <w:proofErr w:type="spellEnd"/>
      <w:r>
        <w:t xml:space="preserve">   </w:t>
      </w:r>
      <w:proofErr w:type="spellStart"/>
      <w:r>
        <w:t>Б.Сагинтаев</w:t>
      </w:r>
      <w:proofErr w:type="spellEnd"/>
      <w:r>
        <w:t xml:space="preserve">    О.Панкратов     И.Шувалов</w:t>
      </w:r>
    </w:p>
    <w:p w:rsidR="005D4EAF" w:rsidRDefault="005D4EAF">
      <w:pPr>
        <w:pStyle w:val="ConsPlusNormal"/>
        <w:ind w:firstLine="540"/>
        <w:jc w:val="both"/>
      </w:pPr>
    </w:p>
    <w:p w:rsidR="005D4EAF" w:rsidRDefault="005D4EAF">
      <w:pPr>
        <w:pStyle w:val="ConsPlusNormal"/>
        <w:ind w:firstLine="540"/>
        <w:jc w:val="both"/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Pr="005D4EAF" w:rsidRDefault="005D4EAF">
      <w:pPr>
        <w:pStyle w:val="ConsPlusNormal"/>
        <w:ind w:firstLine="540"/>
        <w:jc w:val="both"/>
        <w:rPr>
          <w:lang w:val="en-US"/>
        </w:rPr>
      </w:pPr>
    </w:p>
    <w:p w:rsidR="005D4EAF" w:rsidRDefault="005D4EAF">
      <w:pPr>
        <w:pStyle w:val="ConsPlusNormal"/>
        <w:ind w:firstLine="540"/>
        <w:jc w:val="both"/>
      </w:pPr>
    </w:p>
    <w:p w:rsidR="005D4EAF" w:rsidRDefault="005D4EAF">
      <w:pPr>
        <w:pStyle w:val="ConsPlusNormal"/>
        <w:ind w:firstLine="540"/>
        <w:jc w:val="both"/>
      </w:pPr>
    </w:p>
    <w:p w:rsidR="005D4EAF" w:rsidRDefault="005D4EAF">
      <w:pPr>
        <w:pStyle w:val="ConsPlusNonformat"/>
        <w:jc w:val="both"/>
      </w:pPr>
      <w:r>
        <w:t xml:space="preserve">                                         УТВЕРЖДЕНО</w:t>
      </w:r>
    </w:p>
    <w:p w:rsidR="005D4EAF" w:rsidRDefault="005D4EAF">
      <w:pPr>
        <w:pStyle w:val="ConsPlusNonformat"/>
        <w:jc w:val="both"/>
      </w:pPr>
      <w:r>
        <w:t xml:space="preserve">                                         Решением Совета</w:t>
      </w:r>
    </w:p>
    <w:p w:rsidR="005D4EAF" w:rsidRDefault="005D4EAF">
      <w:pPr>
        <w:pStyle w:val="ConsPlusNonformat"/>
        <w:jc w:val="both"/>
      </w:pPr>
      <w:r>
        <w:t xml:space="preserve">                                         Евразийской экономической комиссии</w:t>
      </w:r>
    </w:p>
    <w:p w:rsidR="005D4EAF" w:rsidRDefault="005D4EAF">
      <w:pPr>
        <w:pStyle w:val="ConsPlusNonformat"/>
        <w:jc w:val="both"/>
      </w:pPr>
      <w:r>
        <w:t xml:space="preserve">                                         от 6 апреля 2016 г. N 47</w:t>
      </w:r>
    </w:p>
    <w:p w:rsidR="005D4EAF" w:rsidRDefault="005D4EAF">
      <w:pPr>
        <w:pStyle w:val="ConsPlusNormal"/>
      </w:pPr>
    </w:p>
    <w:p w:rsidR="005D4EAF" w:rsidRDefault="005D4EAF">
      <w:pPr>
        <w:pStyle w:val="ConsPlusTitle"/>
        <w:jc w:val="center"/>
      </w:pPr>
      <w:bookmarkStart w:id="0" w:name="P29"/>
      <w:bookmarkEnd w:id="0"/>
      <w:r>
        <w:t>ПОЛОЖЕНИЕ</w:t>
      </w:r>
    </w:p>
    <w:p w:rsidR="005D4EAF" w:rsidRDefault="005D4EAF">
      <w:pPr>
        <w:pStyle w:val="ConsPlusTitle"/>
        <w:jc w:val="center"/>
      </w:pPr>
      <w:r>
        <w:t>ОБ УСЛОВИЯХ И ПОРЯДКЕ ПРИМЕНЕНИЯ ЕДИНОЙ СИСТЕМЫ ТАРИФНЫХ ПРЕФЕРЕНЦИЙ ЕВРАЗИЙСКОГО ЭКОНОМИЧЕСКОГО СОЮЗА</w:t>
      </w:r>
    </w:p>
    <w:p w:rsidR="005D4EAF" w:rsidRDefault="005D4EA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D4EA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D4EAF" w:rsidRDefault="005D4E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Совета ЕЭК от 19.12.2019 N 122)</w:t>
            </w:r>
          </w:p>
        </w:tc>
      </w:tr>
    </w:tbl>
    <w:p w:rsidR="005D4EAF" w:rsidRDefault="005D4EAF">
      <w:pPr>
        <w:pStyle w:val="ConsPlusNormal"/>
      </w:pPr>
    </w:p>
    <w:p w:rsidR="005D4EAF" w:rsidRDefault="005D4EAF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условия и порядок применения единой системы тарифных преференций в отношении товаров, происходящих из развивающихся и наименее развитых стран - пользователей единой системы тарифных преференций Евразийского экономического союза (далее соответственно - развивающиеся страны, наименее развитые страны, Союз).</w:t>
      </w:r>
      <w:proofErr w:type="gramEnd"/>
    </w:p>
    <w:p w:rsidR="005D4EAF" w:rsidRDefault="005D4EAF">
      <w:pPr>
        <w:pStyle w:val="ConsPlusNormal"/>
        <w:spacing w:before="220"/>
        <w:ind w:firstLine="540"/>
        <w:jc w:val="both"/>
      </w:pPr>
      <w:r>
        <w:t xml:space="preserve">2. Тарифные преференции в отношении товаров, происходящих из развивающихся и наименее развитых стран, применяются при их ввозе на таможенную территорию Союза в соответствии с положениями </w:t>
      </w:r>
      <w:hyperlink r:id="rId10" w:history="1">
        <w:r>
          <w:rPr>
            <w:color w:val="0000FF"/>
          </w:rPr>
          <w:t>статьи 36</w:t>
        </w:r>
      </w:hyperlink>
      <w:r>
        <w:t xml:space="preserve"> Договора о Евразийском экономическом союзе от 29 мая 2014 года (далее - Договор о Союзе).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3. Тарифные преференции в отношении товаров, происходящих из развивающихся стран, применяются при наличии следующих условий: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а) страна происхождения ввозимых товаров включена в перечень развивающихся стран - пользователей единой системы тарифных преференций Союза (далее - перечень развивающихся стран);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б) товар включен в перечень товаров, происходящих из развивающихся или наименее развитых стран, в отношении которых при ввозе на таможенную территорию Союза предоставляются тарифные преференции (далее - перечень преференциальных товаров);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в) обеспечено выполнение требований, предусмотренных действующими в рамках Союза правилами определения происхождения товаров из развивающихся и наименее развитых стран.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4. В перечень развивающихся стран включаются страны, не классифицируемые Всемирным банком как страны с доходом выше среднего, а также с высоким уровнем дохода.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5. Страна, не классифицируемая Всемирным банком как страна с доходом выше среднего, а также с высоким уровнем дохода, может быть не включена в перечень развивающихся стран либо исключена из него в следующих случаях: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а) достижение страной уровня дохода, определяемого в течение 2 лет подряд Всемирным банком как доход выше среднего или высокий;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б) достижение страной доли в размере 1 процента и выше в объеме мирового экспорта по данным Всемирной торговой организации в течение 2 лет подряд;</w:t>
      </w:r>
    </w:p>
    <w:p w:rsidR="005D4EAF" w:rsidRDefault="005D4EAF">
      <w:pPr>
        <w:pStyle w:val="ConsPlusNormal"/>
        <w:spacing w:before="220"/>
        <w:ind w:firstLine="540"/>
        <w:jc w:val="both"/>
      </w:pPr>
      <w:proofErr w:type="gramStart"/>
      <w:r>
        <w:t xml:space="preserve">в) заключение страной с Союзом преференциального торгового соглашения, наличие такого соглашения на дату вступления в силу Решения Совета Евразийской экономической комиссии от 6 апреля 2016 г. N 47 "Об утверждении Положения об условиях и порядке применения единой системы тарифных преференций Евразийского экономического союза" или наличие преференциального торгового соглашения, заключенного страной с государством - членом Союза </w:t>
      </w:r>
      <w:r>
        <w:lastRenderedPageBreak/>
        <w:t>(государствами - членами Союза) в соответствии с</w:t>
      </w:r>
      <w:proofErr w:type="gramEnd"/>
      <w:r>
        <w:t xml:space="preserve"> </w:t>
      </w:r>
      <w:hyperlink r:id="rId11" w:history="1">
        <w:r>
          <w:rPr>
            <w:color w:val="0000FF"/>
          </w:rPr>
          <w:t>пунктом 1 статьи 102</w:t>
        </w:r>
      </w:hyperlink>
      <w:r>
        <w:t xml:space="preserve"> Договора о Союзе;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г) включение страны в список наименее развитых стран ООН.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 xml:space="preserve">6. Решение Евразийской экономической комиссии (далее - Комиссия) об исключении страны из перечня развивающихся стран вступает в силу не ранее чем через 6 месяцев </w:t>
      </w:r>
      <w:proofErr w:type="gramStart"/>
      <w:r>
        <w:t>с даты</w:t>
      </w:r>
      <w:proofErr w:type="gramEnd"/>
      <w:r>
        <w:t xml:space="preserve"> его принятия.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7. Тарифные преференции в отношении товаров, происходящих из наименее развитых стран, применяются при наличии следующих условий: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а) страна происхождения ввозимых товаров включена в перечень наименее развитых стран - пользователей единой системы тарифных преференций Союза (далее - перечень наименее развитых стран);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б) товар включен в перечень преференциальных товаров;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в) обеспечено выполнение требований, предусмотренных действующими в рамках Союза правилами определения происхождения товаров из развивающихся и наименее развитых стран.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8. В перечень наименее развитых стран включаются страны, включенные в список наименее развитых стран ООН.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В перечень наименее развитых стран могут быть включены страны, которым в соответствии с резолюциями Генеральной Ассамбл</w:t>
      </w:r>
      <w:proofErr w:type="gramStart"/>
      <w:r>
        <w:t>еи ОО</w:t>
      </w:r>
      <w:proofErr w:type="gramEnd"/>
      <w:r>
        <w:t>Н могут предоставляться тарифные преференции, аналогичные тем, которые действуют для стран, включенных в список наименее развитых стран ООН, а также страны, классифицируемые Всемирным банком как страны с низким уровнем дохода.</w:t>
      </w:r>
    </w:p>
    <w:p w:rsidR="005D4EAF" w:rsidRDefault="005D4EAF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Решения</w:t>
        </w:r>
      </w:hyperlink>
      <w:r>
        <w:t xml:space="preserve"> Совета ЕЭК от 19.12.2019 N 122)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9. Страна подлежит исключению из перечня наименее развитых стран в случае исключения ее из списка наименее развитых стран ООН, а также в случае отмены резолюции Генеральной Ассамбл</w:t>
      </w:r>
      <w:proofErr w:type="gramStart"/>
      <w:r>
        <w:t>еи ОО</w:t>
      </w:r>
      <w:proofErr w:type="gramEnd"/>
      <w:r>
        <w:t>Н, в соответствии с которой данной стране могут предоставляться тарифные преференции, аналогичные тем, которые действуют для стран, включенных в список наименее развитых стран ООН.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Страна, включенная в перечень наименее развитых стран в соответствии с классификацией Всемирного банка, может быть исключена из него, если такая страна в течение 2 лет подряд не классифицируется Всемирным банком как страна с низким уровнем дохода.</w:t>
      </w:r>
    </w:p>
    <w:p w:rsidR="005D4EAF" w:rsidRDefault="005D4EAF">
      <w:pPr>
        <w:pStyle w:val="ConsPlusNormal"/>
        <w:jc w:val="both"/>
      </w:pPr>
      <w:r>
        <w:t xml:space="preserve">(абзац введен </w:t>
      </w:r>
      <w:hyperlink r:id="rId13" w:history="1">
        <w:r>
          <w:rPr>
            <w:color w:val="0000FF"/>
          </w:rPr>
          <w:t>Решением</w:t>
        </w:r>
      </w:hyperlink>
      <w:r>
        <w:t xml:space="preserve"> Совета ЕЭК от 19.12.2019 N 122)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 xml:space="preserve">10. Решение Комиссии об исключении страны из перечня наименее развитых стран вступает в силу не ранее чем через 6 месяцев </w:t>
      </w:r>
      <w:proofErr w:type="gramStart"/>
      <w:r>
        <w:t>с даты</w:t>
      </w:r>
      <w:proofErr w:type="gramEnd"/>
      <w:r>
        <w:t xml:space="preserve"> его принятия.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11. Перечень преференциальных товаров включает в себя товары, происходящие из развивающихся и наименее развитых стран, в отношении которых при ввозе на таможенную территорию Союза предоставляются тарифные преференции.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12. Товар может быть не включен в перечень преференциальных товаров или исключен из него в одном из следующих случаев: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а) преференциальный ввоз товара является чувствительным по отношению к существующему производству аналогичных товаров на территории одного или нескольких государств - членов Союза (далее - государства-члены);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б) Комиссией установлены в отношении товара тарифные квоты.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lastRenderedPageBreak/>
        <w:t xml:space="preserve">13. Решение Комиссии об изменении перечня преференциальных товаров вступает в силу не ранее чем через 6 месяцев </w:t>
      </w:r>
      <w:proofErr w:type="gramStart"/>
      <w:r>
        <w:t>с даты</w:t>
      </w:r>
      <w:proofErr w:type="gramEnd"/>
      <w:r>
        <w:t xml:space="preserve"> его принятия.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14. Применение тарифных преференций в отношении отдельных или всех товаров, происходящих из развивающихся или наименее развитых стран, может быть временно приостановлено по решению Комиссии при наличии одного или нескольких из следующих оснований: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а) страна не принимает необходимые меры, включая меры законодательного и организационного характера, направленные на борьбу против незаконного оборота наркотических средств и психотропных веществ (</w:t>
      </w:r>
      <w:proofErr w:type="spellStart"/>
      <w:r>
        <w:t>прекурсоров</w:t>
      </w:r>
      <w:proofErr w:type="spellEnd"/>
      <w:r>
        <w:t>);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б) страна не принимает необходимые меры по противодействию легализации (отмыванию) доходов, полученных преступным путем;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в) страна не принимает необходимые меры по противодействию терроризму;</w:t>
      </w:r>
    </w:p>
    <w:p w:rsidR="005D4EAF" w:rsidRDefault="005D4EAF">
      <w:pPr>
        <w:pStyle w:val="ConsPlusNormal"/>
        <w:spacing w:before="220"/>
        <w:ind w:firstLine="540"/>
        <w:jc w:val="both"/>
      </w:pPr>
      <w:proofErr w:type="gramStart"/>
      <w:r>
        <w:t>г) страна допускает недружественные действия по отношению к государству-члену или Союзу, под которыми понимается неоднократное нарушение экономических интересов государства-члена или Союза либо физических и (или) юридических лиц государств-членов, в том числе действия, которые необоснованно закрывают физическим и (или) юридическим лицам государств-членов доступ на рынок этой страны или иным образом необоснованно дискриминируют физических и (или) юридических лиц государств-членов;</w:t>
      </w:r>
      <w:proofErr w:type="gramEnd"/>
    </w:p>
    <w:p w:rsidR="005D4EAF" w:rsidRDefault="005D4EAF">
      <w:pPr>
        <w:pStyle w:val="ConsPlusNormal"/>
        <w:spacing w:before="220"/>
        <w:ind w:firstLine="540"/>
        <w:jc w:val="both"/>
      </w:pPr>
      <w:proofErr w:type="spellStart"/>
      <w:proofErr w:type="gramStart"/>
      <w:r>
        <w:t>д</w:t>
      </w:r>
      <w:proofErr w:type="spellEnd"/>
      <w:r>
        <w:t>) страна допускает неоднократные нарушения положений действующих в рамках Союза правил определения происхождения товаров из развивающихся и наименее развитых стран (в том числе в области определения происхождения товаров, выполнения требований и условий административного сотрудничества, документального подтверждения происхождения товаров), дающие основания полагать, что такая страна не в состоянии обеспечить их надлежащее применение в отношении экспортируемых товаров;</w:t>
      </w:r>
      <w:proofErr w:type="gramEnd"/>
    </w:p>
    <w:p w:rsidR="005D4EAF" w:rsidRDefault="005D4EAF">
      <w:pPr>
        <w:pStyle w:val="ConsPlusNormal"/>
        <w:spacing w:before="220"/>
        <w:ind w:firstLine="540"/>
        <w:jc w:val="both"/>
      </w:pPr>
      <w:proofErr w:type="gramStart"/>
      <w:r>
        <w:t xml:space="preserve">е) объем ввоза на таможенную территорию Союза товара, происходящего из развивающейся или наименее развитой страны (на уровне субпозиции единой Товарной </w:t>
      </w:r>
      <w:hyperlink r:id="rId14" w:history="1">
        <w:r>
          <w:rPr>
            <w:color w:val="0000FF"/>
          </w:rPr>
          <w:t>номенклатуры</w:t>
        </w:r>
      </w:hyperlink>
      <w:r>
        <w:t xml:space="preserve"> внешнеэкономической деятельности Евразийского экономического союза), включенного в перечень преференциальных товаров, превышающий в стоимостном или количественном исчислении 3 процента общего объема ввоза такого же товара на таможенную территорию Союза, увеличился в течение года более чем на 50 процентов, результатом чего</w:t>
      </w:r>
      <w:proofErr w:type="gramEnd"/>
      <w:r>
        <w:t xml:space="preserve"> стало сокращение объемов производства аналогичных товаров производителями государств-членов и (или) сокращение их доли на внутреннем рынке Союза.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15. Приостановление применения тарифных преференций вводится, как правило, сроком на 1 год.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 xml:space="preserve">16. Решение Комиссии о временном приостановлении применения тарифных преференций вступает в силу не ранее чем через 90 календарных дней </w:t>
      </w:r>
      <w:proofErr w:type="gramStart"/>
      <w:r>
        <w:t>с даты</w:t>
      </w:r>
      <w:proofErr w:type="gramEnd"/>
      <w:r>
        <w:t xml:space="preserve"> его принятия.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17. Комиссия на регулярной основе проводит мониторинг функционирования единой системы тарифных преференций Союза.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18. Пересмотр единой системы тарифных преференций Союза, включая внесение изменений в перечень развивающихся стран, перечень наименее развитых стран и перечень преференциальных товаров, осуществляется Комиссией на основании проводимого мониторинга, но не реже чем 1 раз в 3 года.</w:t>
      </w:r>
    </w:p>
    <w:p w:rsidR="005D4EAF" w:rsidRDefault="005D4EAF">
      <w:pPr>
        <w:pStyle w:val="ConsPlusNormal"/>
        <w:spacing w:before="220"/>
        <w:ind w:firstLine="540"/>
        <w:jc w:val="both"/>
      </w:pPr>
      <w:r>
        <w:t>19. Таможенные органы государств-членов направляют по запросу Комиссии информацию о предоставлении тарифных преференций.</w:t>
      </w:r>
    </w:p>
    <w:p w:rsidR="005D4EAF" w:rsidRDefault="005D4EAF">
      <w:pPr>
        <w:pStyle w:val="ConsPlusNormal"/>
        <w:ind w:firstLine="540"/>
        <w:jc w:val="both"/>
      </w:pPr>
    </w:p>
    <w:p w:rsidR="005D4EAF" w:rsidRDefault="005D4EAF">
      <w:pPr>
        <w:pStyle w:val="ConsPlusNormal"/>
        <w:ind w:firstLine="540"/>
        <w:jc w:val="both"/>
      </w:pPr>
    </w:p>
    <w:p w:rsidR="005D4EAF" w:rsidRDefault="005D4E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B1C24" w:rsidRDefault="00AB1C24"/>
    <w:sectPr w:rsidR="00AB1C24" w:rsidSect="00883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5D4EAF"/>
    <w:rsid w:val="00293DA5"/>
    <w:rsid w:val="004C50EC"/>
    <w:rsid w:val="00503788"/>
    <w:rsid w:val="005D4EAF"/>
    <w:rsid w:val="008213F0"/>
    <w:rsid w:val="00AB1C24"/>
    <w:rsid w:val="00F41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50EC"/>
    <w:pPr>
      <w:ind w:left="720"/>
      <w:contextualSpacing/>
    </w:pPr>
  </w:style>
  <w:style w:type="paragraph" w:customStyle="1" w:styleId="ConsPlusNormal">
    <w:name w:val="ConsPlusNormal"/>
    <w:rsid w:val="005D4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D4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D4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4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796EB193BEFB84ED2993BAFEA07B96346CE9C4B1095EED99145E86FC1DF7C3541E373A8358F9E4012C5D44FFEF0F38EAa9AEN" TargetMode="External"/><Relationship Id="rId13" Type="http://schemas.openxmlformats.org/officeDocument/2006/relationships/hyperlink" Target="consultantplus://offline/ref=0D796EB193BEFB84ED2993BAFEA07B96346CE9C4B10154E19D1357DBF615AECF56193865865FE8E401254345FFF1066CB9DB97E373816A8EB7A4D0F3F0a7AA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D796EB193BEFB84ED2993BAFEA07B96346CE9C4B10158E99A1955DBF615AECF56193865865FE8E401254541FDF1066CB9DB97E373816A8EB7A4D0F3F0a7AAN" TargetMode="External"/><Relationship Id="rId12" Type="http://schemas.openxmlformats.org/officeDocument/2006/relationships/hyperlink" Target="consultantplus://offline/ref=0D796EB193BEFB84ED2993BAFEA07B96346CE9C4B10154E19D1357DBF615AECF56193865865FE8E401254345FEF8066CB9DB97E373816A8EB7A4D0F3F0a7AAN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D796EB193BEFB84ED2993BAFEA07B96346CE9C4B10158E09A1954DBF615AECF56193865865FE8E401254341F6F0066CB9DB97E373816A8EB7A4D0F3F0a7AAN" TargetMode="External"/><Relationship Id="rId11" Type="http://schemas.openxmlformats.org/officeDocument/2006/relationships/hyperlink" Target="consultantplus://offline/ref=0D796EB193BEFB84ED2993BAFEA07B96346CE9C4B10158E99A1955DBF615AECF56193865865FE8E40125434CF7F2066CB9DB97E373816A8EB7A4D0F3F0a7AAN" TargetMode="External"/><Relationship Id="rId5" Type="http://schemas.openxmlformats.org/officeDocument/2006/relationships/hyperlink" Target="consultantplus://offline/ref=0D796EB193BEFB84ED2993BAFEA07B96346CE9C4B10158E99A1955DBF615AECF56193865865FE8E401254346FAF4066CB9DB97E373816A8EB7A4D0F3F0a7AA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D796EB193BEFB84ED2993BAFEA07B96346CE9C4B10158E99A1955DBF615AECF56193865865FE8E401254347F7F3066CB9DB97E373816A8EB7A4D0F3F0a7AAN" TargetMode="External"/><Relationship Id="rId4" Type="http://schemas.openxmlformats.org/officeDocument/2006/relationships/hyperlink" Target="consultantplus://offline/ref=0D796EB193BEFB84ED2993BAFEA07B96346CE9C4B10154E19D1357DBF615AECF56193865865FE8E401254345FEF9066CB9DB97E373816A8EB7A4D0F3F0a7AAN" TargetMode="External"/><Relationship Id="rId9" Type="http://schemas.openxmlformats.org/officeDocument/2006/relationships/hyperlink" Target="consultantplus://offline/ref=0D796EB193BEFB84ED2993BAFEA07B96346CE9C4B10154E19D1357DBF615AECF56193865865FE8E401254345FEF9066CB9DB97E373816A8EB7A4D0F3F0a7AAN" TargetMode="External"/><Relationship Id="rId14" Type="http://schemas.openxmlformats.org/officeDocument/2006/relationships/hyperlink" Target="consultantplus://offline/ref=0D796EB193BEFB84ED2993BAFEA07B96346CE9C4B10158EE9A1952DBF615AECF56193865865FE8E40122454CFDF3066CB9DB97E373816A8EB7A4D0F3F0a7A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1802</Words>
  <Characters>10275</Characters>
  <Application>Microsoft Office Word</Application>
  <DocSecurity>0</DocSecurity>
  <Lines>85</Lines>
  <Paragraphs>24</Paragraphs>
  <ScaleCrop>false</ScaleCrop>
  <Company>Krokoz™</Company>
  <LinksUpToDate>false</LinksUpToDate>
  <CharactersWithSpaces>12053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Galashkong</dc:creator>
  <cp:lastModifiedBy>Galashkong</cp:lastModifiedBy>
  <cp:revision>1</cp:revision>
  <dcterms:created xsi:type="dcterms:W3CDTF">2021-11-19T13:00:00Z</dcterms:created>
  <dcterms:modified xsi:type="dcterms:W3CDTF">2021-11-19T13:02:00Z</dcterms:modified>
</cp:coreProperties>
</file>