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91" w:rsidRDefault="007E60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6091" w:rsidRDefault="007E6091">
      <w:pPr>
        <w:pStyle w:val="ConsPlusNormal"/>
        <w:outlineLvl w:val="0"/>
      </w:pPr>
    </w:p>
    <w:p w:rsidR="007E6091" w:rsidRDefault="007E609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E6091" w:rsidRDefault="007E6091">
      <w:pPr>
        <w:pStyle w:val="ConsPlusNormal"/>
        <w:spacing w:before="220"/>
        <w:jc w:val="both"/>
      </w:pPr>
      <w:r>
        <w:t>Республики Беларусь 22 декабря 2020 г. N 5/48627</w:t>
      </w:r>
    </w:p>
    <w:p w:rsidR="007E6091" w:rsidRDefault="007E6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091" w:rsidRDefault="007E6091">
      <w:pPr>
        <w:pStyle w:val="ConsPlusNormal"/>
      </w:pPr>
    </w:p>
    <w:p w:rsidR="007E6091" w:rsidRDefault="007E6091">
      <w:pPr>
        <w:pStyle w:val="ConsPlusTitle"/>
        <w:jc w:val="center"/>
      </w:pPr>
      <w:r>
        <w:t>ПОСТАНОВЛЕНИЕ СОВЕТА МИНИСТРОВ РЕСПУБЛИКИ БЕЛАРУСЬ</w:t>
      </w:r>
    </w:p>
    <w:p w:rsidR="007E6091" w:rsidRDefault="007E6091">
      <w:pPr>
        <w:pStyle w:val="ConsPlusTitle"/>
        <w:jc w:val="center"/>
      </w:pPr>
      <w:r>
        <w:t>21 декабря 2020 г. N 749</w:t>
      </w:r>
    </w:p>
    <w:p w:rsidR="007E6091" w:rsidRDefault="007E6091">
      <w:pPr>
        <w:pStyle w:val="ConsPlusTitle"/>
        <w:jc w:val="center"/>
      </w:pPr>
    </w:p>
    <w:p w:rsidR="007E6091" w:rsidRDefault="007E6091">
      <w:pPr>
        <w:pStyle w:val="ConsPlusTitle"/>
        <w:jc w:val="center"/>
      </w:pPr>
      <w:r>
        <w:t>О ГОСУДАРСТВЕННОЙ ПРОГРАММЕ "ИНФРАСТРУКТУРА ПУНКТОВ ПРОПУСКА НА ГОСУДАРСТВЕННОЙ ГРАНИЦЕ РЕСПУБЛИКИ БЕЛАРУСЬ" НА 2021 - 2025 ГОДЫ</w:t>
      </w:r>
    </w:p>
    <w:p w:rsidR="007E6091" w:rsidRDefault="007E60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60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091" w:rsidRDefault="007E60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091" w:rsidRDefault="007E60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091" w:rsidRDefault="007E60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02.02.2022 </w:t>
            </w:r>
            <w:hyperlink r:id="rId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7E6091" w:rsidRDefault="007E6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19.09.2022 </w:t>
            </w:r>
            <w:hyperlink r:id="rId6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30.09.2023 </w:t>
            </w:r>
            <w:hyperlink r:id="rId7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29.12.2023 </w:t>
            </w:r>
            <w:hyperlink r:id="rId8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>,</w:t>
            </w:r>
          </w:p>
          <w:p w:rsidR="007E6091" w:rsidRDefault="007E6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25.11.2024 </w:t>
            </w:r>
            <w:hyperlink r:id="rId9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091" w:rsidRDefault="007E6091">
            <w:pPr>
              <w:pStyle w:val="ConsPlusNormal"/>
            </w:pPr>
          </w:p>
        </w:tc>
      </w:tr>
    </w:tbl>
    <w:p w:rsidR="007E6091" w:rsidRDefault="007E6091">
      <w:pPr>
        <w:pStyle w:val="ConsPlusNormal"/>
      </w:pPr>
    </w:p>
    <w:p w:rsidR="007E6091" w:rsidRDefault="007E6091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1. Утвердить Государственную </w:t>
      </w:r>
      <w:hyperlink w:anchor="P30">
        <w:r>
          <w:rPr>
            <w:color w:val="0000FF"/>
          </w:rPr>
          <w:t>программу</w:t>
        </w:r>
      </w:hyperlink>
      <w:r>
        <w:t xml:space="preserve"> "Инфраструктура пунктов пропуска на Государственной границе Республики Беларусь" на 2021 - 2025 годы (далее - Государственная программа) (прилагается).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2. Возложить персональную ответственность за выполнение сводных целевых и целевых показателей Государственной </w:t>
      </w:r>
      <w:hyperlink w:anchor="P30">
        <w:r>
          <w:rPr>
            <w:color w:val="0000FF"/>
          </w:rPr>
          <w:t>программы</w:t>
        </w:r>
      </w:hyperlink>
      <w:r>
        <w:t>, своевременную и качественную реализацию ее мероприятий на Председателя Государственного таможенного комитета.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7E6091" w:rsidRDefault="007E609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E60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:rsidR="007E6091" w:rsidRDefault="007E6091">
      <w:pPr>
        <w:pStyle w:val="ConsPlusNormal"/>
        <w:jc w:val="both"/>
      </w:pPr>
    </w:p>
    <w:p w:rsidR="007E6091" w:rsidRDefault="007E6091">
      <w:pPr>
        <w:pStyle w:val="ConsPlusNormal"/>
        <w:jc w:val="both"/>
      </w:pPr>
    </w:p>
    <w:p w:rsidR="007E6091" w:rsidRDefault="007E6091">
      <w:pPr>
        <w:pStyle w:val="ConsPlusNormal"/>
        <w:jc w:val="both"/>
      </w:pPr>
    </w:p>
    <w:p w:rsidR="007E6091" w:rsidRDefault="007E6091">
      <w:pPr>
        <w:pStyle w:val="ConsPlusNormal"/>
        <w:jc w:val="both"/>
      </w:pPr>
    </w:p>
    <w:p w:rsidR="007E6091" w:rsidRDefault="007E6091">
      <w:pPr>
        <w:pStyle w:val="ConsPlusNormal"/>
        <w:jc w:val="both"/>
      </w:pPr>
    </w:p>
    <w:p w:rsidR="007E6091" w:rsidRDefault="007E609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7E6091" w:rsidRDefault="007E609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E6091" w:rsidRDefault="007E6091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E6091" w:rsidRDefault="007E6091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E6091" w:rsidRDefault="007E6091">
      <w:pPr>
        <w:pStyle w:val="ConsPlusNonformat"/>
        <w:jc w:val="both"/>
      </w:pPr>
      <w:r>
        <w:t xml:space="preserve">                                                        21.12.2020 N 749</w:t>
      </w:r>
    </w:p>
    <w:p w:rsidR="007E6091" w:rsidRDefault="007E6091">
      <w:pPr>
        <w:pStyle w:val="ConsPlusNormal"/>
      </w:pPr>
    </w:p>
    <w:p w:rsidR="007E6091" w:rsidRDefault="007E6091">
      <w:pPr>
        <w:pStyle w:val="ConsPlusTitle"/>
        <w:jc w:val="center"/>
      </w:pPr>
      <w:bookmarkStart w:id="0" w:name="P30"/>
      <w:bookmarkEnd w:id="0"/>
      <w:r>
        <w:t>ГОСУДАРСТВЕННАЯ ПРОГРАММА</w:t>
      </w:r>
    </w:p>
    <w:p w:rsidR="007E6091" w:rsidRDefault="007E6091">
      <w:pPr>
        <w:pStyle w:val="ConsPlusTitle"/>
        <w:jc w:val="center"/>
      </w:pPr>
      <w:r>
        <w:t>"ИНФРАСТРУКТУРА ПУНКТОВ ПРОПУСКА НА ГОСУДАРСТВЕННОЙ ГРАНИЦЕ РЕСПУБЛИКИ БЕЛАРУСЬ" НА 2021 - 2025 ГОДЫ</w:t>
      </w:r>
    </w:p>
    <w:p w:rsidR="007E6091" w:rsidRDefault="007E60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60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091" w:rsidRDefault="007E60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091" w:rsidRDefault="007E60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091" w:rsidRDefault="007E60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02.02.2022 </w:t>
            </w:r>
            <w:hyperlink r:id="rId10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7E6091" w:rsidRDefault="007E6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19.09.2022 </w:t>
            </w:r>
            <w:hyperlink r:id="rId1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30.09.2023 </w:t>
            </w:r>
            <w:hyperlink r:id="rId12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29.12.2023 </w:t>
            </w:r>
            <w:hyperlink r:id="rId13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>,</w:t>
            </w:r>
          </w:p>
          <w:p w:rsidR="007E6091" w:rsidRDefault="007E60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25.11.2024 </w:t>
            </w:r>
            <w:hyperlink r:id="rId14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091" w:rsidRDefault="007E6091">
            <w:pPr>
              <w:pStyle w:val="ConsPlusNormal"/>
            </w:pPr>
          </w:p>
        </w:tc>
      </w:tr>
    </w:tbl>
    <w:p w:rsidR="007E6091" w:rsidRDefault="007E6091">
      <w:pPr>
        <w:pStyle w:val="ConsPlusNormal"/>
      </w:pPr>
    </w:p>
    <w:p w:rsidR="007E6091" w:rsidRDefault="007E6091">
      <w:pPr>
        <w:pStyle w:val="ConsPlusNormal"/>
        <w:jc w:val="center"/>
        <w:outlineLvl w:val="1"/>
      </w:pPr>
      <w:r>
        <w:rPr>
          <w:b/>
        </w:rPr>
        <w:t>ГЛАВА 1</w:t>
      </w:r>
    </w:p>
    <w:p w:rsidR="007E6091" w:rsidRDefault="007E6091">
      <w:pPr>
        <w:pStyle w:val="ConsPlusNormal"/>
        <w:jc w:val="center"/>
      </w:pPr>
      <w:r>
        <w:rPr>
          <w:b/>
        </w:rPr>
        <w:t>ОБЩИЕ ПОЛОЖЕНИЯ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ind w:firstLine="540"/>
        <w:jc w:val="both"/>
      </w:pPr>
      <w:r>
        <w:t xml:space="preserve">Государственная программа разработана с учетом положений следующих основных </w:t>
      </w:r>
      <w:r>
        <w:lastRenderedPageBreak/>
        <w:t>документов: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Национальная стратегия устойчивого социально-экономического развития Республики Беларусь на период до 2030 года, одобренная Президиумом Совета Министров Республики Беларусь (протокол заседания Президиума Совета Министров Республики Беларусь от 2 мая 2017 г. N 10);</w:t>
      </w:r>
    </w:p>
    <w:p w:rsidR="007E6091" w:rsidRDefault="00726C00">
      <w:pPr>
        <w:pStyle w:val="ConsPlusNormal"/>
        <w:spacing w:before="220"/>
        <w:ind w:firstLine="540"/>
        <w:jc w:val="both"/>
      </w:pPr>
      <w:hyperlink r:id="rId15">
        <w:r w:rsidR="007E6091">
          <w:rPr>
            <w:color w:val="0000FF"/>
          </w:rPr>
          <w:t>Концепция</w:t>
        </w:r>
      </w:hyperlink>
      <w:r w:rsidR="007E6091">
        <w:t xml:space="preserve"> развития инфраструктуры автодорожных пунктов пропуска на Государственной границе Республики Беларусь, утвержденная постановлением Совета Министров Республики Беларусь от 12 января 2006 г. N 35;</w:t>
      </w:r>
    </w:p>
    <w:p w:rsidR="007E6091" w:rsidRDefault="00726C00">
      <w:pPr>
        <w:pStyle w:val="ConsPlusNormal"/>
        <w:spacing w:before="220"/>
        <w:ind w:firstLine="540"/>
        <w:jc w:val="both"/>
      </w:pPr>
      <w:hyperlink r:id="rId16">
        <w:r w:rsidR="007E6091">
          <w:rPr>
            <w:color w:val="0000FF"/>
          </w:rPr>
          <w:t>Концепция</w:t>
        </w:r>
      </w:hyperlink>
      <w:r w:rsidR="007E6091">
        <w:t xml:space="preserve"> интегрированного управления Государственной границей Республики Беларусь, утвержденная постановлением Совета Министров Республики Беларусь от 12 марта 2019 г. N 153;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Единые типовые </w:t>
      </w:r>
      <w:hyperlink r:id="rId17">
        <w:r>
          <w:rPr>
            <w:color w:val="0000FF"/>
          </w:rPr>
          <w:t>требования</w:t>
        </w:r>
      </w:hyperlink>
      <w:r>
        <w:t xml:space="preserve"> к оборудованию и материально-техническому оснащению зданий, помещений и сооружений, необходимых для организации государственного контроля в пунктах пропуска через таможенную границу Евразийского экономического союза, утвержденные Решением Комиссии Таможенного союза от 22 июня 2011 г. N 688.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Сферой реализации Государственной программы является пограничная, экономическая и государственная безопасность.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Государственная программа направлена на повышение транзитного потенциала Республики Беларусь, содействие внешней торговле, увеличение пропускной способности автодорожных пунктов пропуска, создание в них условий для сотрудников, осуществляющих функции государственного контроля, лиц, осуществляющих хозяйственную и иную деятельность, физических лиц, пересекающих Государственную границу Республики Беларусь, в том числе в пешем порядке, путем создания инфраструктуры, отвечающей современным международным требованиям.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В связи с отсутствием финансирования с 2015 по 2018 год реконструкция автодорожных пунктов пропуска не проводилась.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Государственным таможенным комитетом (далее - ГТК) за счет средств, получаемых на дополнительное финансирование таможенных органов в соответствии с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Республики Беларусь от 2 июня 2009 г. N 278 "Об условиях дополнительного финансирования таможенных органов и органов пограничной службы" (далее соответственно - Указ N 278, собственные средства), в 2018 году возобновлена реконструкция автодорожного пункта пропуска "Урбаны", в 2019 году - автодорожного пункта пропуска "Верхний Теребежов".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 2015 по 2019 год количество перемещений всех типов транспортных средств (грузовые, легковые, автобусы) через автодорожные пункты пропуска на таможенной границе Евразийского экономического союза (далее - ЕАЭС) в Республике Беларусь в целом увеличилось на 28,3 процента.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В последние несколько лет наметилась тенденция к последовательному увеличению количества пересекающих Государственную границу Республики Беларусь транспортных средств.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Возрастание транспортного потока свидетельствует об эффективности принимаемых мер в целях повышения транзитной привлекательности Республики Беларусь.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Таможенными органами Республики Беларусь на постоянной основе проводится работа по упрощению таможенных процедур в отношении пересекающих границу транспортных средств.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Одним из факторов, влияющих на оперативность пропуска лиц, товаров и транспортных средств через границу, является наличие инфраструктуры, отвечающей международным требованиям в условиях возрастающего трансграничного пассажиро- и товаропотока.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lastRenderedPageBreak/>
        <w:t>С учетом напряженной обстановки, связанной с очередями при пересечении транспортными средствами белорусско-литовской, белорусско-польской границы, в первую очередь требуется решить вопросы, связанные с реконструкцией, модернизацией и техническим переоснащением автодорожных пунктов пропуска на данных направлениях.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Таможенная инфраструктура автодорожных пунктов пропуска, расположенных на белорусско-литовском, белорусско-польском, белорусско-украинском участках границы, не в полной мере отвечает требованиям для обеспечения пропуска потока транспортных средств и проведения полноценного контроля.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В Государственной программе определены мероприятия для обеспечения экономической и пограничной безопасности на Государственной границе Республики Беларусь.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Обустройство таможенной инфраструктуры позволит создать условия для обеспечения безопасности на таможенной границе ЕАЭС в Республике Беларусь в части противодействия незаконной внешней миграции, незаконному ввозу (вывозу) товаров, контрабанде наркотических средств и их прекурсоров, оружия, боеприпасов.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Реализация комплекса мероприятий Государственной программы обеспечит: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создание надлежащей современной таможенной инфраструктуры для организации государственного контроля в автодорожных пунктах пропуска на Государственной границе Республики Беларусь, включая обеспечение необходимых санитарно-бытовых условий для сотрудников, выполняющих функции государственного контроля в автодорожных пунктах пропуска, а также для лиц, осуществляющих хозяйственную и иную деятельность, физических лиц, пересекающих Государственную границу Республики Беларусь, в том числе в пешем порядке;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возможность проведения эффективного таможенного, пограничного и иных видов государственного контроля в отношении лиц, транспортных средств и товаров при пересечении Государственной границы Республики Беларусь при минимальных временных затратах;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полноту взимания всех видов платежей на Государственной границе Республики Беларусь;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благоприятные условия для привлечения и обеспечения транзитных потоков товаров, развития туризма.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jc w:val="center"/>
        <w:outlineLvl w:val="1"/>
      </w:pPr>
      <w:r>
        <w:rPr>
          <w:b/>
        </w:rPr>
        <w:t>ГЛАВА 2</w:t>
      </w:r>
    </w:p>
    <w:p w:rsidR="007E6091" w:rsidRDefault="007E6091">
      <w:pPr>
        <w:pStyle w:val="ConsPlusNormal"/>
        <w:jc w:val="center"/>
      </w:pPr>
      <w:r>
        <w:rPr>
          <w:b/>
        </w:rPr>
        <w:t>ЦЕЛЬ, ЗАДАЧА И СТРУКТУРА ГОСУДАРСТВЕННОЙ ПРОГРАММЫ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ind w:firstLine="540"/>
        <w:jc w:val="both"/>
      </w:pPr>
      <w:r>
        <w:t>Цель Государственной программы - ускорение прохождения Государственной границы Республики Беларусь участниками внешнеэкономической деятельности и физическими лицами, улучшение условий для ее пересечения, реализация транзитного потенциала Республики Беларусь.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Для достижения этой цели необходимо выполнение задачи по совершенствованию инфраструктуры автодорожных пунктов пропуска на Государственной границе Республики Беларусь.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Ответственный заказчик и заказчик Государственной программы - ГТК.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Сводные целевые показатели, характеризующие выполнение цели Государственной программы, целевые показатели, характеризующие выполнение ее задачи, указаны в </w:t>
      </w:r>
      <w:hyperlink w:anchor="P206">
        <w:r>
          <w:rPr>
            <w:color w:val="0000FF"/>
          </w:rPr>
          <w:t>приложении 1</w:t>
        </w:r>
      </w:hyperlink>
      <w:r>
        <w:t>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Сведения о методике расчета сводных целевых и целевых показателей Государственной программы указаны в </w:t>
      </w:r>
      <w:hyperlink w:anchor="P277">
        <w:r>
          <w:rPr>
            <w:color w:val="0000FF"/>
          </w:rPr>
          <w:t>приложении 2</w:t>
        </w:r>
      </w:hyperlink>
      <w:r>
        <w:t>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lastRenderedPageBreak/>
        <w:t xml:space="preserve">Предусматривается выполнение комплекса мероприятий Государственной программы согласно </w:t>
      </w:r>
      <w:hyperlink w:anchor="P345">
        <w:r>
          <w:rPr>
            <w:color w:val="0000FF"/>
          </w:rPr>
          <w:t>приложению 3</w:t>
        </w:r>
      </w:hyperlink>
      <w:r>
        <w:t>.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jc w:val="center"/>
        <w:outlineLvl w:val="1"/>
      </w:pPr>
      <w:r>
        <w:rPr>
          <w:b/>
        </w:rPr>
        <w:t>ГЛАВА 3</w:t>
      </w:r>
    </w:p>
    <w:p w:rsidR="007E6091" w:rsidRDefault="007E6091">
      <w:pPr>
        <w:pStyle w:val="ConsPlusNormal"/>
        <w:jc w:val="center"/>
      </w:pPr>
      <w:r>
        <w:rPr>
          <w:b/>
        </w:rPr>
        <w:t>ФИНАНСОВОЕ ОБЕСПЕЧЕНИЕ ГОСУДАРСТВЕННОЙ ПРОГРАММЫ</w:t>
      </w:r>
    </w:p>
    <w:p w:rsidR="007E6091" w:rsidRDefault="007E6091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Совмина от 30.09.2023 N 644)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ind w:firstLine="540"/>
        <w:jc w:val="both"/>
      </w:pPr>
      <w:r>
        <w:t xml:space="preserve">Финансирование комплекса мероприятий осуществляется за счет средств республиканского бюджета, собственных средств, средств международной технической помощи. Объемы и источники финансирования комплекса мероприятий Государственной программы определены согласно </w:t>
      </w:r>
      <w:hyperlink w:anchor="P466">
        <w:r>
          <w:rPr>
            <w:color w:val="0000FF"/>
          </w:rPr>
          <w:t>приложению 4</w:t>
        </w:r>
      </w:hyperlink>
      <w:r>
        <w:t>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Финансирование мероприятий Государственной программы может ежегодно уточняться в зависимости от: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прогнозных поступлений собственных средств;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проводимой ГТК работы по поиску доноров и привлечению средств международной технической помощи на реализацию Государственной программы.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jc w:val="center"/>
        <w:outlineLvl w:val="1"/>
      </w:pPr>
      <w:r>
        <w:rPr>
          <w:b/>
        </w:rPr>
        <w:t>ГЛАВА 4</w:t>
      </w:r>
    </w:p>
    <w:p w:rsidR="007E6091" w:rsidRDefault="007E6091">
      <w:pPr>
        <w:pStyle w:val="ConsPlusNormal"/>
        <w:jc w:val="center"/>
      </w:pPr>
      <w:r>
        <w:rPr>
          <w:b/>
        </w:rPr>
        <w:t>ОСНОВНЫЕ РИСКИ ПРИ ВЫПОЛНЕНИИ ГОСУДАРСТВЕННОЙ ПРОГРАММЫ. МЕХАНИЗМЫ УПРАВЛЕНИЯ РИСКАМИ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ind w:firstLine="540"/>
        <w:jc w:val="both"/>
      </w:pPr>
      <w:r>
        <w:t>В ходе реализации Государственной программы будут оцениваться следующие риски: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финансово-экономические;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нормативно-правовые.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Финансово-экономические риски могут быть вызваны неполным или неритмичным финансированием Государственной программы, прекращением ее финансирования за счет привлеченных источников и собственных средств. Это может повлечь недостижение сводных целевых, целевых показателей, а также невыполнение комплекса мероприятий Государственной программы.</w:t>
      </w:r>
    </w:p>
    <w:p w:rsidR="007E6091" w:rsidRDefault="007E609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Совмина от 02.02.2022 N 64)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На степень финансово-экономических рисков могут оказать существенное влияние негативные инфляционные процессы.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В целях минимизации последствий финансово-экономических рисков предусматривается принятие мер по: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обеспечению своевременного и эффективного использования средств для реализации мероприятий Государственной программы;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привлечению дополнительных средств из внебюджетных источников финансирования;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определению приоритетов для финансирования мероприятий Государственной программы;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перераспределению средств между приоритетными направлениями реализации Государственной программы;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привлечению средств международной технической помощи.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К нормативно-правовым рискам относится возможная корректировка национального </w:t>
      </w:r>
      <w:r>
        <w:lastRenderedPageBreak/>
        <w:t>законодательства, влекущая изменение условий реализации Государственной программы.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В целях снижения вероятности возникновения нормативно-правовых рисков и минимизации их последствий предусматривается принятие следующих мер: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участие в обсуждении и согласовании проектов нормативных правовых актов;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постоянный мониторинг изменений законодательства;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осуществление при необходимости корректировки Государственной программы.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jc w:val="center"/>
        <w:outlineLvl w:val="1"/>
      </w:pPr>
      <w:r>
        <w:rPr>
          <w:b/>
        </w:rPr>
        <w:t>ГЛАВА 5</w:t>
      </w:r>
    </w:p>
    <w:p w:rsidR="007E6091" w:rsidRDefault="007E6091">
      <w:pPr>
        <w:pStyle w:val="ConsPlusNormal"/>
        <w:jc w:val="center"/>
      </w:pPr>
      <w:r>
        <w:rPr>
          <w:b/>
        </w:rPr>
        <w:t>МЕТОДИКА ОЦЕНКИ ЭФФЕКТИВНОСТИ РЕАЛИЗАЦИИ ГОСУДАРСТВЕННОЙ ПРОГРАММЫ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ind w:firstLine="540"/>
        <w:jc w:val="both"/>
      </w:pPr>
      <w:r>
        <w:t>Оценка эффективности реализации Государственной программы в отчетном периоде осуществляется ответственным заказчиком на основе использования следующих формул.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Эффективность реализации мероприятий Государственной программы в отчетном периоде рассчитывается по формуле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913765" cy="4737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both"/>
      </w:pPr>
      <w:r>
        <w:t xml:space="preserve">где </w:t>
      </w:r>
      <w:r>
        <w:rPr>
          <w:i/>
        </w:rPr>
        <w:t>SR</w:t>
      </w:r>
      <w:r>
        <w:t xml:space="preserve"> - эффективность реализации мероприятий Государственной программы в отчетном периоде;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SM</w:t>
      </w:r>
      <w:r>
        <w:t xml:space="preserve"> - оценка выполнения мероприятий Государственной программы в отчетном периоде;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SF</w:t>
      </w:r>
      <w:r>
        <w:t xml:space="preserve"> - степень соответствия фактического объема финансирования Государственной программы плановому объему финансирования в отчетном периоде.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Оценка выполнения мероприятий Государственной программы в отчетном периоде рассчитывается по формуле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1311910" cy="5911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both"/>
      </w:pPr>
      <w:r>
        <w:t xml:space="preserve">где </w:t>
      </w:r>
      <w:r>
        <w:rPr>
          <w:i/>
        </w:rPr>
        <w:t>SM</w:t>
      </w:r>
      <w:r>
        <w:t xml:space="preserve"> - оценка выполнения мероприятий Государственной программы в отчетном периоде;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M</w:t>
      </w:r>
      <w:r>
        <w:t xml:space="preserve"> - степень реализации мероприятия Государственной программы в отчетном периоде;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t xml:space="preserve"> - общее количество мероприятий, запланированных к реализации в отчетном периоде.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Определение степени реализации мероприятия Государственной программы в отчетном периоде имеет следующие особенности.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Если мероприятие направлено на достижение качественного результата и выполнено в отчетном периоде, значение </w:t>
      </w:r>
      <w:r>
        <w:rPr>
          <w:i/>
        </w:rPr>
        <w:t>M</w:t>
      </w:r>
      <w:r>
        <w:t xml:space="preserve"> принимается равным 1. Если мероприятие не выполнено в отчетном периоде, но выполнено в период подготовки годового отчета о реализации Государственной программы (до 20 февраля года, следующего за отчетным), значение </w:t>
      </w:r>
      <w:r>
        <w:rPr>
          <w:i/>
        </w:rPr>
        <w:t>M</w:t>
      </w:r>
      <w:r>
        <w:t xml:space="preserve"> равно 0,8. В иных случаях значение </w:t>
      </w:r>
      <w:r>
        <w:rPr>
          <w:i/>
        </w:rPr>
        <w:t>M</w:t>
      </w:r>
      <w:r>
        <w:t xml:space="preserve"> равно 0.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Если выполнение мероприятия измеряется количественными показателями, степень реализации мероприятия Государственной программы в отчетном периоде рассчитывается как отношение фактически достигнутого значения показателя к плановому. Если это отношение больше </w:t>
      </w:r>
      <w:r>
        <w:lastRenderedPageBreak/>
        <w:t xml:space="preserve">1, значение </w:t>
      </w:r>
      <w:r>
        <w:rPr>
          <w:i/>
        </w:rPr>
        <w:t>M</w:t>
      </w:r>
      <w:r>
        <w:t xml:space="preserve"> принимается равным 1.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Если мероприятие выполнено не в установленный срок, но в пределах периода реализации Государственной программы, при оценке эффективности выполнения Государственной программы за весь период ее реализации такое мероприятие считается выполненным частично и значение </w:t>
      </w:r>
      <w:r>
        <w:rPr>
          <w:i/>
        </w:rPr>
        <w:t>M</w:t>
      </w:r>
      <w:r>
        <w:t xml:space="preserve"> принимается равным: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0,8 - для мероприятия, выполненного в году, следующем за годом, в котором выполнение мероприятия было запланировано;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0,6 - для мероприятия, выполненного в течение второго года, следующего за годом, в котором выполнение мероприятия было запланировано;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0,4 - для мероприятия, выполненного в течение третьего года, следующего за годом, в котором выполнение мероприятия было запланировано;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0,2 - для мероприятия, выполненного в течение четвертого года, следующего за годом, в котором выполнение мероприятия было запланировано.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Если мероприятие выполнено ранее установленного срока, значение </w:t>
      </w:r>
      <w:r>
        <w:rPr>
          <w:i/>
        </w:rPr>
        <w:t>M</w:t>
      </w:r>
      <w:r>
        <w:t xml:space="preserve"> принимается равным 1.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Степень соответствия фактического объема финансирования Государственной программы плановому объему финансирования в отчетном периоде рассчитывается по формуле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789305" cy="5537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both"/>
      </w:pPr>
      <w:r>
        <w:t xml:space="preserve">где </w:t>
      </w:r>
      <w:r>
        <w:rPr>
          <w:i/>
        </w:rPr>
        <w:t>SF</w:t>
      </w:r>
      <w:r>
        <w:t xml:space="preserve"> - степень соответствия фактического объема финансирования Государственной программы плановому объему финансирования в отчетном периоде;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F</w:t>
      </w:r>
      <w:r>
        <w:rPr>
          <w:i/>
          <w:vertAlign w:val="subscript"/>
        </w:rPr>
        <w:t>f</w:t>
      </w:r>
      <w:r>
        <w:t xml:space="preserve"> - фактический объем финансирования Государственной программы в отчетном периоде;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F</w:t>
      </w:r>
      <w:r>
        <w:rPr>
          <w:i/>
          <w:vertAlign w:val="subscript"/>
        </w:rPr>
        <w:t>p</w:t>
      </w:r>
      <w:r>
        <w:t xml:space="preserve"> - плановый объем финансирования Государственной программы в отчетном периоде.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Если в отчетном периоде финансирование Государственной программы не предусматривалось, значение </w:t>
      </w:r>
      <w:r>
        <w:rPr>
          <w:i/>
        </w:rPr>
        <w:t>SR</w:t>
      </w:r>
      <w:r>
        <w:t xml:space="preserve"> соответствует значению </w:t>
      </w:r>
      <w:r>
        <w:rPr>
          <w:i/>
        </w:rPr>
        <w:t>SM</w:t>
      </w:r>
      <w:r>
        <w:t>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Если значение </w:t>
      </w:r>
      <w:r>
        <w:rPr>
          <w:i/>
        </w:rPr>
        <w:t>SR</w:t>
      </w:r>
      <w:r>
        <w:t xml:space="preserve"> больше 1, при расчете эффективности реализации Государственной программы в отчетном периоде оно принимается равным 1.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Степень достижения планового значения сводного целевого показателя Государственной программы, желаемой тенденцией развития которого является достижение значения, рассчитывается по формуле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948055" cy="59118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both"/>
      </w:pPr>
      <w:r>
        <w:t xml:space="preserve">где </w:t>
      </w:r>
      <w:r>
        <w:rPr>
          <w:i/>
        </w:rPr>
        <w:t>SD</w:t>
      </w:r>
      <w:r>
        <w:rPr>
          <w:i/>
          <w:vertAlign w:val="subscript"/>
        </w:rPr>
        <w:t>p</w:t>
      </w:r>
      <w:r>
        <w:t xml:space="preserve"> - степень достижения планового значения сводного целевого показателя;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P</w:t>
      </w:r>
      <w:r>
        <w:rPr>
          <w:i/>
          <w:vertAlign w:val="subscript"/>
        </w:rPr>
        <w:t>f</w:t>
      </w:r>
      <w:r>
        <w:t xml:space="preserve"> - значение сводного целевого показателя, фактически достигнутое на конец отчетного периода;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P</w:t>
      </w:r>
      <w:r>
        <w:rPr>
          <w:i/>
          <w:vertAlign w:val="subscript"/>
        </w:rPr>
        <w:t>p</w:t>
      </w:r>
      <w:r>
        <w:t xml:space="preserve"> - плановое значение сводного целевого показателя.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lastRenderedPageBreak/>
        <w:t xml:space="preserve">Если значение </w:t>
      </w:r>
      <w:r>
        <w:rPr>
          <w:i/>
        </w:rPr>
        <w:t>SD</w:t>
      </w:r>
      <w:r>
        <w:rPr>
          <w:i/>
          <w:vertAlign w:val="subscript"/>
        </w:rPr>
        <w:t>p</w:t>
      </w:r>
      <w:r>
        <w:t xml:space="preserve"> больше 1, при расчете степени достижения цели Государственной программы оно принимается равным 1.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Степень достижения планового значения целевого показателя Государственной программы, желаемой тенденцией развития которого является достижение значения, рассчитывается по формуле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907415" cy="59309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both"/>
      </w:pPr>
      <w:r>
        <w:t xml:space="preserve">где </w:t>
      </w:r>
      <w:r>
        <w:rPr>
          <w:i/>
        </w:rPr>
        <w:t>SD</w:t>
      </w:r>
      <w:r>
        <w:rPr>
          <w:i/>
          <w:vertAlign w:val="subscript"/>
        </w:rPr>
        <w:t>c</w:t>
      </w:r>
      <w:r>
        <w:t xml:space="preserve"> - степень достижения планового значения целевого показателя;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P</w:t>
      </w:r>
      <w:r>
        <w:rPr>
          <w:i/>
          <w:vertAlign w:val="subscript"/>
        </w:rPr>
        <w:t>f</w:t>
      </w:r>
      <w:r>
        <w:t xml:space="preserve"> - значение целевого показателя, фактически достигнутое на конец отчетного периода;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P</w:t>
      </w:r>
      <w:r>
        <w:rPr>
          <w:i/>
          <w:vertAlign w:val="subscript"/>
        </w:rPr>
        <w:t>p</w:t>
      </w:r>
      <w:r>
        <w:t xml:space="preserve"> - плановое значение целевого показателя.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Если значение </w:t>
      </w:r>
      <w:r>
        <w:rPr>
          <w:i/>
        </w:rPr>
        <w:t>SD</w:t>
      </w:r>
      <w:r>
        <w:rPr>
          <w:i/>
          <w:vertAlign w:val="subscript"/>
        </w:rPr>
        <w:t>c</w:t>
      </w:r>
      <w:r>
        <w:t xml:space="preserve"> больше 1, при расчете степени выполнения задачи Государственной программы оно принимается равным 1.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Степень выполнения задачи Государственной программы рассчитывается по формуле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144270" cy="51562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both"/>
      </w:pPr>
      <w:r>
        <w:t xml:space="preserve">где </w:t>
      </w:r>
      <w:r>
        <w:rPr>
          <w:i/>
        </w:rPr>
        <w:t>SZ</w:t>
      </w:r>
      <w:r>
        <w:t xml:space="preserve"> - степень выполнения задачи Государственной программы;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SD</w:t>
      </w:r>
      <w:r>
        <w:rPr>
          <w:i/>
          <w:vertAlign w:val="subscript"/>
        </w:rPr>
        <w:t>c</w:t>
      </w:r>
      <w:r>
        <w:t xml:space="preserve"> - степень достижения планового значения целевого показателя, характеризующего выполнение задачи Государственной программы;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t xml:space="preserve"> - количество целевых показателей Государственной программы, характеризующих выполнение ее задачи.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Степень достижения цели Государственной программы рассчитывается по формуле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1268095" cy="5924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both"/>
      </w:pPr>
      <w:r>
        <w:t xml:space="preserve">где </w:t>
      </w:r>
      <w:r>
        <w:rPr>
          <w:i/>
        </w:rPr>
        <w:t>SG</w:t>
      </w:r>
      <w:r>
        <w:t xml:space="preserve"> - степень достижения цели Государственной программы;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SD</w:t>
      </w:r>
      <w:r>
        <w:rPr>
          <w:i/>
          <w:vertAlign w:val="subscript"/>
        </w:rPr>
        <w:t>p</w:t>
      </w:r>
      <w:r>
        <w:t xml:space="preserve"> - степень достижения планового значения сводного целевого показателя Государственной программы;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t xml:space="preserve"> - количество сводных целевых показателей Государственной программы.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Эффективность реализации Государственной программы в отчетном периоде рассчитывается по формуле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44320" cy="43624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both"/>
      </w:pPr>
      <w:r>
        <w:t xml:space="preserve">где </w:t>
      </w:r>
      <w:r>
        <w:rPr>
          <w:i/>
        </w:rPr>
        <w:t>E</w:t>
      </w:r>
      <w:r>
        <w:t xml:space="preserve"> - эффективность реализации Государственной программы в отчетном периоде;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>SG</w:t>
      </w:r>
      <w:r>
        <w:t xml:space="preserve"> - степень достижения цели Государственной программы;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SR</w:t>
      </w:r>
      <w:r>
        <w:t xml:space="preserve"> - эффективность реализации мероприятий Государственной программы в отчетном периоде;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rPr>
          <w:i/>
        </w:rPr>
        <w:t>SZ</w:t>
      </w:r>
      <w:r>
        <w:t xml:space="preserve"> - степень выполнения задачи Государственной программы.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Государственная программа признается: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высокоэффективной, если значение </w:t>
      </w:r>
      <w:r>
        <w:rPr>
          <w:i/>
        </w:rPr>
        <w:t>Е</w:t>
      </w:r>
      <w:r>
        <w:t xml:space="preserve"> больше или равно 0,95;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эффективной, если значение </w:t>
      </w:r>
      <w:r>
        <w:rPr>
          <w:i/>
        </w:rPr>
        <w:t>Е</w:t>
      </w:r>
      <w:r>
        <w:t xml:space="preserve"> находится в интервале от 0,9 включительно до 0,95;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среднеэффективной, если значение Е находится в интервале от 0,8 включительно до 0,9;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низкоэффективной, если значение </w:t>
      </w:r>
      <w:r>
        <w:rPr>
          <w:i/>
        </w:rPr>
        <w:t>Е</w:t>
      </w:r>
      <w:r>
        <w:t xml:space="preserve"> находится в интервале от 0,7 включительно до 0,8;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 xml:space="preserve">неэффективной, если значение </w:t>
      </w:r>
      <w:r>
        <w:rPr>
          <w:i/>
        </w:rPr>
        <w:t>Е</w:t>
      </w:r>
      <w:r>
        <w:t xml:space="preserve"> меньше 0,7.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Мероприятия Государственной программы, связанные с реконструкцией и строительством объектов, срок реализации которых составляет один год, считаются выполненными в случае утверждения в отчетном году акта приемки объекта в эксплуатацию. В случае, когда срок реализации таких мероприятий Государственной программы составляет два года и более, мероприятия считаются выполненными за отчетный год (кроме последнего года реализации) при полном освоении финансовых средств, предусмотренных на их выполнение в указанном году, в соответствии с планами капитального ремонта и модернизации, капитального строительства объектов таможенной инфраструктуры, утверждаемыми Председателем ГТК.</w:t>
      </w:r>
    </w:p>
    <w:p w:rsidR="007E6091" w:rsidRDefault="007E609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Совмина от 30.09.2023 N 644)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Выполнение мероприятий за последний год их реализации оценивается по аналогии с мероприятиями, срок реализации которых составляет один год.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Мероприятие "Оснащение автодорожных пунктов пропуска (пунктов таможенного оформления) семью мобильными инспекционно-досмотровыми комплексами" считается выполненным в случае достижения в отчетном году его количественных показателей.</w:t>
      </w:r>
    </w:p>
    <w:p w:rsidR="007E6091" w:rsidRDefault="007E609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Совмина от 25.11.2024 N 868)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Оценка эффективности реализации Государственной программы нарастающим итогом с начала ее реализации осуществляется по методике ежегодной оценки с заменой исходных значений годового периода на значения анализируемого периода.</w:t>
      </w:r>
    </w:p>
    <w:p w:rsidR="007E6091" w:rsidRDefault="007E6091">
      <w:pPr>
        <w:pStyle w:val="ConsPlusNormal"/>
        <w:spacing w:before="220"/>
        <w:ind w:firstLine="540"/>
        <w:jc w:val="both"/>
      </w:pPr>
      <w:r>
        <w:t>Для оценки степени достижения показателей, имеющих абсолютные значения, суммируются фактически достигнутые значения по каждому году анализируемого периода и сопоставляются с плановыми значениями за этот период.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right"/>
        <w:outlineLvl w:val="1"/>
      </w:pPr>
      <w:r>
        <w:t>Приложение 1</w:t>
      </w:r>
    </w:p>
    <w:p w:rsidR="007E6091" w:rsidRDefault="007E6091">
      <w:pPr>
        <w:pStyle w:val="ConsPlusNormal"/>
        <w:jc w:val="right"/>
      </w:pPr>
      <w:r>
        <w:t>к Государственной программе</w:t>
      </w:r>
    </w:p>
    <w:p w:rsidR="007E6091" w:rsidRDefault="007E6091">
      <w:pPr>
        <w:pStyle w:val="ConsPlusNormal"/>
        <w:jc w:val="right"/>
      </w:pPr>
      <w:r>
        <w:t>"Инфраструктура пунктов пропуска</w:t>
      </w:r>
    </w:p>
    <w:p w:rsidR="007E6091" w:rsidRDefault="007E6091">
      <w:pPr>
        <w:pStyle w:val="ConsPlusNormal"/>
        <w:jc w:val="right"/>
      </w:pPr>
      <w:r>
        <w:t>на Государственной границе</w:t>
      </w:r>
    </w:p>
    <w:p w:rsidR="007E6091" w:rsidRDefault="007E6091">
      <w:pPr>
        <w:pStyle w:val="ConsPlusNormal"/>
        <w:jc w:val="right"/>
      </w:pPr>
      <w:r>
        <w:t>Республики Беларусь"</w:t>
      </w:r>
    </w:p>
    <w:p w:rsidR="007E6091" w:rsidRDefault="007E6091">
      <w:pPr>
        <w:pStyle w:val="ConsPlusNormal"/>
        <w:jc w:val="right"/>
      </w:pPr>
      <w:r>
        <w:t>на 2021 - 2025 годы</w:t>
      </w:r>
    </w:p>
    <w:p w:rsidR="007E6091" w:rsidRDefault="007E6091">
      <w:pPr>
        <w:pStyle w:val="ConsPlusNormal"/>
        <w:jc w:val="right"/>
      </w:pPr>
      <w:r>
        <w:t>(в редакции постановления</w:t>
      </w:r>
    </w:p>
    <w:p w:rsidR="007E6091" w:rsidRDefault="007E6091">
      <w:pPr>
        <w:pStyle w:val="ConsPlusNormal"/>
        <w:jc w:val="right"/>
      </w:pPr>
      <w:r>
        <w:lastRenderedPageBreak/>
        <w:t>Совета Министров</w:t>
      </w:r>
    </w:p>
    <w:p w:rsidR="007E6091" w:rsidRDefault="007E6091">
      <w:pPr>
        <w:pStyle w:val="ConsPlusNormal"/>
        <w:jc w:val="right"/>
      </w:pPr>
      <w:r>
        <w:t>Республики Беларусь</w:t>
      </w:r>
    </w:p>
    <w:p w:rsidR="007E6091" w:rsidRDefault="007E6091">
      <w:pPr>
        <w:pStyle w:val="ConsPlusNormal"/>
        <w:jc w:val="right"/>
      </w:pPr>
      <w:r>
        <w:t>25.11.2024 N 868)</w:t>
      </w:r>
    </w:p>
    <w:p w:rsidR="007E6091" w:rsidRDefault="007E6091">
      <w:pPr>
        <w:pStyle w:val="ConsPlusNormal"/>
      </w:pPr>
    </w:p>
    <w:p w:rsidR="007E6091" w:rsidRDefault="007E6091">
      <w:pPr>
        <w:pStyle w:val="ConsPlusTitle"/>
        <w:jc w:val="center"/>
      </w:pPr>
      <w:bookmarkStart w:id="1" w:name="P206"/>
      <w:bookmarkEnd w:id="1"/>
      <w:r>
        <w:t>СВОДНЫЕ ЦЕЛЕВЫЕ ПОКАЗАТЕЛИ,</w:t>
      </w:r>
    </w:p>
    <w:p w:rsidR="007E6091" w:rsidRDefault="007E6091">
      <w:pPr>
        <w:pStyle w:val="ConsPlusTitle"/>
        <w:jc w:val="center"/>
      </w:pPr>
      <w:r>
        <w:t>ХАРАКТЕРИЗУЮЩИЕ ВЫПОЛНЕНИЕ ЦЕЛИ ГОСУДАРСТВЕННОЙ ПРОГРАММЫ "ИНФРАСТРУКТУРА ПУНКТОВ ПРОПУСКА НА ГОСУДАРСТВЕННОЙ ГРАНИЦЕ РЕСПУБЛИКИ БЕЛАРУСЬ" НА 2021 - 2025 ГОДЫ, ЦЕЛЕВЫЕ ПОКАЗАТЕЛИ, ХАРАКТЕРИЗУЮЩИЕ ВЫПОЛНЕНИЕ ЕЕ ЗАДАЧИ</w:t>
      </w:r>
    </w:p>
    <w:p w:rsidR="007E6091" w:rsidRDefault="007E6091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Совмина от 25.11.2024 N 868)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sectPr w:rsidR="007E6091" w:rsidSect="002B49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5"/>
        <w:gridCol w:w="1245"/>
        <w:gridCol w:w="1455"/>
        <w:gridCol w:w="1095"/>
        <w:gridCol w:w="1035"/>
        <w:gridCol w:w="1095"/>
        <w:gridCol w:w="1110"/>
        <w:gridCol w:w="1065"/>
      </w:tblGrid>
      <w:tr w:rsidR="007E6091">
        <w:tc>
          <w:tcPr>
            <w:tcW w:w="28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lastRenderedPageBreak/>
              <w:t>Наименование показателей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</w:tr>
      <w:tr w:rsidR="007E6091">
        <w:tc>
          <w:tcPr>
            <w:tcW w:w="286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4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2025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Сводные целевые показатели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1. Количество реконструированных пунктов пропуска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ГТК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3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2. Общая проектная пропускная способность автодорожных пунктов пропуска в сутки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транспортных средств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31 985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32 630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32 690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32 690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32 690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Целевые показатели</w:t>
            </w:r>
            <w:r>
              <w:br/>
              <w:t>Задача "Совершенствование инфраструктуры автодорожных пунктов пропуска на Государственной границе Республики Беларусь"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3. Количество инспекционно-досмотровых комплексов в автодорожных пунктах пропуска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ГТК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E6091" w:rsidRPr="00726C00" w:rsidRDefault="007E6091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  <w:r w:rsidR="00726C00">
              <w:rPr>
                <w:lang w:val="en-US"/>
              </w:rPr>
              <w:t>1</w:t>
            </w:r>
            <w:bookmarkStart w:id="2" w:name="_GoBack"/>
            <w:bookmarkEnd w:id="2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3-1. Количество инспекционно-досмотровых комплексов в автодорожных пунктах пропуска (пунктах таможенного оформления)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14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</w:pPr>
            <w:r>
              <w:t>4. Количество автодорожных пунктов пропуска, обустроенных для пересечения границы пешим порядком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Pr="00726C00" w:rsidRDefault="007E6091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</w:tr>
    </w:tbl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right"/>
        <w:outlineLvl w:val="1"/>
      </w:pPr>
      <w:r>
        <w:t>Приложение 2</w:t>
      </w:r>
    </w:p>
    <w:p w:rsidR="007E6091" w:rsidRDefault="007E6091">
      <w:pPr>
        <w:pStyle w:val="ConsPlusNormal"/>
        <w:jc w:val="right"/>
      </w:pPr>
      <w:r>
        <w:t>к Государственной программе</w:t>
      </w:r>
    </w:p>
    <w:p w:rsidR="007E6091" w:rsidRDefault="007E6091">
      <w:pPr>
        <w:pStyle w:val="ConsPlusNormal"/>
        <w:jc w:val="right"/>
      </w:pPr>
      <w:r>
        <w:t>"Инфраструктура пунктов пропуска</w:t>
      </w:r>
    </w:p>
    <w:p w:rsidR="007E6091" w:rsidRDefault="007E6091">
      <w:pPr>
        <w:pStyle w:val="ConsPlusNormal"/>
        <w:jc w:val="right"/>
      </w:pPr>
      <w:r>
        <w:t>на Государственной границе</w:t>
      </w:r>
    </w:p>
    <w:p w:rsidR="007E6091" w:rsidRDefault="007E6091">
      <w:pPr>
        <w:pStyle w:val="ConsPlusNormal"/>
        <w:jc w:val="right"/>
      </w:pPr>
      <w:r>
        <w:t>Республики Беларусь"</w:t>
      </w:r>
    </w:p>
    <w:p w:rsidR="007E6091" w:rsidRDefault="007E6091">
      <w:pPr>
        <w:pStyle w:val="ConsPlusNormal"/>
        <w:jc w:val="right"/>
      </w:pPr>
      <w:r>
        <w:t>на 2021 - 2025 годы</w:t>
      </w:r>
    </w:p>
    <w:p w:rsidR="007E6091" w:rsidRDefault="007E6091">
      <w:pPr>
        <w:pStyle w:val="ConsPlusNormal"/>
        <w:jc w:val="right"/>
      </w:pPr>
      <w:r>
        <w:t>(в редакции постановления</w:t>
      </w:r>
    </w:p>
    <w:p w:rsidR="007E6091" w:rsidRDefault="007E6091">
      <w:pPr>
        <w:pStyle w:val="ConsPlusNormal"/>
        <w:jc w:val="right"/>
      </w:pPr>
      <w:r>
        <w:t>Совета Министров</w:t>
      </w:r>
    </w:p>
    <w:p w:rsidR="007E6091" w:rsidRDefault="007E6091">
      <w:pPr>
        <w:pStyle w:val="ConsPlusNormal"/>
        <w:jc w:val="right"/>
      </w:pPr>
      <w:r>
        <w:t>Республики Беларусь</w:t>
      </w:r>
    </w:p>
    <w:p w:rsidR="007E6091" w:rsidRDefault="007E6091">
      <w:pPr>
        <w:pStyle w:val="ConsPlusNormal"/>
        <w:jc w:val="right"/>
      </w:pPr>
      <w:r>
        <w:t>25.11.2024 N 868)</w:t>
      </w:r>
    </w:p>
    <w:p w:rsidR="007E6091" w:rsidRDefault="007E6091">
      <w:pPr>
        <w:pStyle w:val="ConsPlusNormal"/>
      </w:pPr>
    </w:p>
    <w:p w:rsidR="007E6091" w:rsidRDefault="007E6091">
      <w:pPr>
        <w:pStyle w:val="ConsPlusTitle"/>
        <w:jc w:val="center"/>
      </w:pPr>
      <w:bookmarkStart w:id="3" w:name="P277"/>
      <w:bookmarkEnd w:id="3"/>
      <w:r>
        <w:t>СВЕДЕНИЯ</w:t>
      </w:r>
    </w:p>
    <w:p w:rsidR="007E6091" w:rsidRDefault="007E6091">
      <w:pPr>
        <w:pStyle w:val="ConsPlusTitle"/>
        <w:jc w:val="center"/>
      </w:pPr>
      <w:r>
        <w:t>О МЕТОДИКЕ РАСЧЕТА СВОДНЫХ ЦЕЛЕВЫХ И ЦЕЛЕВЫХ ПОКАЗАТЕЛЕЙ ГОСУДАРСТВЕННОЙ ПРОГРАММЫ "ИНФРАСТРУКТУРА ПУНКТОВ ПРОПУСКА НА ГОСУДАРСТВЕННОЙ ГРАНИЦЕ РЕСПУБЛИКИ БЕЛАРУСЬ" НА 2021 - 2025 ГОДЫ</w:t>
      </w:r>
    </w:p>
    <w:p w:rsidR="007E6091" w:rsidRDefault="007E6091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Совмина от 25.11.2024 N 868)</w:t>
      </w:r>
    </w:p>
    <w:p w:rsidR="007E6091" w:rsidRDefault="007E6091">
      <w:pPr>
        <w:pStyle w:val="ConsPlusNormal"/>
      </w:pPr>
    </w:p>
    <w:tbl>
      <w:tblPr>
        <w:tblW w:w="154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0"/>
        <w:gridCol w:w="1500"/>
        <w:gridCol w:w="2820"/>
        <w:gridCol w:w="2085"/>
        <w:gridCol w:w="1950"/>
        <w:gridCol w:w="2038"/>
        <w:gridCol w:w="1134"/>
        <w:gridCol w:w="1134"/>
      </w:tblGrid>
      <w:tr w:rsidR="007E6091" w:rsidTr="007E6091"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Определение показателя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Показатели, используемые в формуле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Метод сбора информации, формы отчетности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Ответственный за сбор данных по показателю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1. Количество реконструированных автодорожных пунктов пропуска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единиц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количество реконструированных автодорожных пунктов пропуска в целом по республике за год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ежегодно (на 1 января года, следующего за отчетным)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 xml:space="preserve">административная информация на основании актов </w:t>
            </w:r>
            <w:r>
              <w:lastRenderedPageBreak/>
              <w:t>приемки в эксплуатацию объектов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lastRenderedPageBreak/>
              <w:t>ГТК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lastRenderedPageBreak/>
              <w:t>2. Общая проектная пропускная способность автодорожных пунктов пропуска в сутки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транспортных средств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количество транспортных средств, пересекающих границу в пункте пропуска в сутки, в соответствии с проектной документацией (рассчитывается нарастающим итогом)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ПП - общая проектная пропускная способность автодорожных пунктов пропуска в году, предшествующем отчетному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ПП + УПП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административная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УПП - увеличение проектной пропускной способности автодорожных пунктов пропуска в отчетном году за счет их реконструкции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административная информация на основании актов приемки в эксплуатацию объекта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 xml:space="preserve">3. Количество инспекционно-досмотровых комплексов (далее - ИДК) в </w:t>
            </w:r>
            <w:r>
              <w:lastRenderedPageBreak/>
              <w:t>автодорожных пунктах пропуска (пунктах таможенного оформления)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 xml:space="preserve">количество ИДК, размещенных в автодорожных пунктах пропуска (пунктах </w:t>
            </w:r>
            <w:r>
              <w:lastRenderedPageBreak/>
              <w:t>таможенного оформления), с учетом введенных в эксплуатацию в отчетном году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lastRenderedPageBreak/>
              <w:t>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 xml:space="preserve">ПИДК - количество ИДК в автодорожных пунктах пропуска </w:t>
            </w:r>
            <w:r>
              <w:lastRenderedPageBreak/>
              <w:t>(пунктах таможенного оформления) в году, предшествующем отчетному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lastRenderedPageBreak/>
              <w:t>ПИДК + ОИДК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административная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ОИДК - количество ИДК в автодорожных пунктах пропуска (пунктах таможенного оформления), введенных в эксплуатацию в отчетном году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административная информация на основании актов ввода ИДК в эксплуатацию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</w:pPr>
            <w:r>
              <w:t>4. Количество автодорожных пунктов пропуска, обустроенных для пересечения границы пешим порядком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</w:pPr>
            <w:r>
              <w:t>единиц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</w:pPr>
            <w:r>
              <w:t>количество реконструированных пунктов пропуска, в которых предусмотрена инфраструктура для пешеходного движения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</w:pPr>
            <w:r>
              <w:t>административная информация на основании актов приемки в эксплуатацию объектов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</w:tbl>
    <w:p w:rsidR="007E6091" w:rsidRDefault="007E6091">
      <w:pPr>
        <w:pStyle w:val="ConsPlusNormal"/>
        <w:sectPr w:rsidR="007E609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right"/>
        <w:outlineLvl w:val="1"/>
      </w:pPr>
      <w:r>
        <w:t>Приложение 3</w:t>
      </w:r>
    </w:p>
    <w:p w:rsidR="007E6091" w:rsidRDefault="007E6091">
      <w:pPr>
        <w:pStyle w:val="ConsPlusNormal"/>
        <w:jc w:val="right"/>
      </w:pPr>
      <w:r>
        <w:t>к Государственной программе</w:t>
      </w:r>
    </w:p>
    <w:p w:rsidR="007E6091" w:rsidRDefault="007E6091">
      <w:pPr>
        <w:pStyle w:val="ConsPlusNormal"/>
        <w:jc w:val="right"/>
      </w:pPr>
      <w:r>
        <w:t>"Инфраструктура пунктов пропуска</w:t>
      </w:r>
    </w:p>
    <w:p w:rsidR="007E6091" w:rsidRDefault="007E6091">
      <w:pPr>
        <w:pStyle w:val="ConsPlusNormal"/>
        <w:jc w:val="right"/>
      </w:pPr>
      <w:r>
        <w:t>на Государственной границе</w:t>
      </w:r>
    </w:p>
    <w:p w:rsidR="007E6091" w:rsidRDefault="007E6091">
      <w:pPr>
        <w:pStyle w:val="ConsPlusNormal"/>
        <w:jc w:val="right"/>
      </w:pPr>
      <w:r>
        <w:t>Республики Беларусь"</w:t>
      </w:r>
    </w:p>
    <w:p w:rsidR="007E6091" w:rsidRDefault="007E6091">
      <w:pPr>
        <w:pStyle w:val="ConsPlusNormal"/>
        <w:jc w:val="right"/>
      </w:pPr>
      <w:r>
        <w:t>на 2021 - 2025 годы</w:t>
      </w:r>
    </w:p>
    <w:p w:rsidR="007E6091" w:rsidRDefault="007E6091">
      <w:pPr>
        <w:pStyle w:val="ConsPlusNormal"/>
        <w:jc w:val="right"/>
      </w:pPr>
      <w:r>
        <w:t>(в редакции постановления</w:t>
      </w:r>
    </w:p>
    <w:p w:rsidR="007E6091" w:rsidRDefault="007E6091">
      <w:pPr>
        <w:pStyle w:val="ConsPlusNormal"/>
        <w:jc w:val="right"/>
      </w:pPr>
      <w:r>
        <w:t>Совета Министров</w:t>
      </w:r>
    </w:p>
    <w:p w:rsidR="007E6091" w:rsidRDefault="007E6091">
      <w:pPr>
        <w:pStyle w:val="ConsPlusNormal"/>
        <w:jc w:val="right"/>
      </w:pPr>
      <w:r>
        <w:t>Республики Беларусь</w:t>
      </w:r>
    </w:p>
    <w:p w:rsidR="007E6091" w:rsidRDefault="007E6091">
      <w:pPr>
        <w:pStyle w:val="ConsPlusNormal"/>
        <w:jc w:val="right"/>
      </w:pPr>
      <w:r>
        <w:t>25.11.2024 N 868)</w:t>
      </w:r>
    </w:p>
    <w:p w:rsidR="007E6091" w:rsidRDefault="007E6091">
      <w:pPr>
        <w:pStyle w:val="ConsPlusNormal"/>
      </w:pPr>
    </w:p>
    <w:p w:rsidR="007E6091" w:rsidRDefault="007E6091">
      <w:pPr>
        <w:pStyle w:val="ConsPlusTitle"/>
        <w:jc w:val="center"/>
      </w:pPr>
      <w:bookmarkStart w:id="4" w:name="P345"/>
      <w:bookmarkEnd w:id="4"/>
      <w:r>
        <w:t>КОМПЛЕКС МЕРОПРИЯТИЙ</w:t>
      </w:r>
    </w:p>
    <w:p w:rsidR="007E6091" w:rsidRDefault="007E6091">
      <w:pPr>
        <w:pStyle w:val="ConsPlusTitle"/>
        <w:jc w:val="center"/>
      </w:pPr>
      <w:r>
        <w:t>ГОСУДАРСТВЕННОЙ ПРОГРАММЫ "ИНФРАСТРУКТУРА ПУНКТОВ ПРОПУСКА НА ГОСУДАРСТВЕННОЙ ГРАНИЦЕ РЕСПУБЛИКИ БЕЛАРУСЬ" НА 2021 - 2025 ГОДЫ</w:t>
      </w:r>
    </w:p>
    <w:p w:rsidR="007E6091" w:rsidRDefault="007E6091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Совмина от 25.11.2024 N 868)</w:t>
      </w:r>
    </w:p>
    <w:p w:rsidR="007E6091" w:rsidRDefault="007E6091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10"/>
        <w:gridCol w:w="1740"/>
        <w:gridCol w:w="1305"/>
        <w:gridCol w:w="2265"/>
      </w:tblGrid>
      <w:tr w:rsidR="007E6091"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Сроки реализации, годы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Задача "Совершенствование инфраструктуры автодорожных пунктов пропуска на Государственной границе Республики Беларусь"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1. Реконструкция автодорожного пункта пропуска "Брест"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ГТК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республиканский бюджет, 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2. Реконструкция автодорожного пункта пропуска "Козловичи"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3. Реконструкция автодорожного пункта пропуска "Берестовица"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4. Реконструкция автодорожного пункта пропуска "Новая Гута"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4-1. Реконструкция автодорожного пункта пропуска "Новая Гута" (разработка проектной документации)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5. Реконструкция автодорожного пункта пропуска "Верхний Теребежов"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6. Реконструкция автодорожного пункта пропуска "Веселовка" (получение разрешительной документации)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7. Реконструкция автодорожного пункта пропуска "Мохро"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lastRenderedPageBreak/>
              <w:t>8. Реконструкция автодорожного пункта пропуска "Новая Рудня"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9. Реконструкция автодорожного пункта пропуска "Мокраны"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республиканский бюджет, 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10. Реконструкция автодорожного пункта пропуска "Бенякони"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11. Реконструкция автодорожного пункта пропуска "Котловка"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12. Строительство санитарно-технического модуля в автодорожном пункте пропуска "Видзы"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13. Строительство искусственного водотока для системы очистных сооружений автодорожного пункта пропуска "Урбаны"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14. Оснащение автодорожных пунктов пропуска тремя стационарными инспекционно-досмотровыми комплексами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средства международной технической помощи, 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14-1. Оснащение автодорожного пункта пропуска (пункта таможенного оформления) стационарным инспекционно-досмотровым комплексом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15. Оснащение автодорожных пунктов пропуска семью мобильными инспекционно-досмотровыми комплексами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средства международной технической помощи, 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15-1. Оснащение автодорожных пунктов пропуска (пунктов таможенного оформления) семью мобильными инспекционно-досмотровыми комплексами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16. Строительство рентгеновской сканирующей системы контроля транспортных средств в автодорожном пункте пропуска "Берестовица"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средства международной технической помощи, 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17. Установка стационарного инспекционно-досмотрового комплекса в автодорожном пункте пропуска "Новая Гута"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 xml:space="preserve">17-1. Установка стационарного </w:t>
            </w:r>
            <w:r>
              <w:lastRenderedPageBreak/>
              <w:t>инспекционно-досмотрового комплекса в автодорожном пункте пропуска "Новая Гута" (строительство первой очереди)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собственные средства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lastRenderedPageBreak/>
              <w:t>18. Модернизация инфраструктуры автодорожного пункта пропуска "Григоровщина"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19. Реконструкция автодорожного пункта пропуска "Лоша"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  <w:tr w:rsid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</w:pPr>
            <w:r>
              <w:t>20. Капитальный ремонт автодорожного пункта пропуска "Видзы"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</w:tr>
    </w:tbl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jc w:val="right"/>
        <w:outlineLvl w:val="1"/>
      </w:pPr>
      <w:r>
        <w:t>Приложение 4</w:t>
      </w:r>
    </w:p>
    <w:p w:rsidR="007E6091" w:rsidRDefault="007E6091">
      <w:pPr>
        <w:pStyle w:val="ConsPlusNormal"/>
        <w:jc w:val="right"/>
      </w:pPr>
      <w:r>
        <w:t>к Государственной программе</w:t>
      </w:r>
    </w:p>
    <w:p w:rsidR="007E6091" w:rsidRDefault="007E6091">
      <w:pPr>
        <w:pStyle w:val="ConsPlusNormal"/>
        <w:jc w:val="right"/>
      </w:pPr>
      <w:r>
        <w:t>"Инфраструктура пунктов пропуска</w:t>
      </w:r>
    </w:p>
    <w:p w:rsidR="007E6091" w:rsidRDefault="007E6091">
      <w:pPr>
        <w:pStyle w:val="ConsPlusNormal"/>
        <w:jc w:val="right"/>
      </w:pPr>
      <w:r>
        <w:t>на Государственной границе</w:t>
      </w:r>
    </w:p>
    <w:p w:rsidR="007E6091" w:rsidRDefault="007E6091">
      <w:pPr>
        <w:pStyle w:val="ConsPlusNormal"/>
        <w:jc w:val="right"/>
      </w:pPr>
      <w:r>
        <w:t>Республики Беларусь"</w:t>
      </w:r>
    </w:p>
    <w:p w:rsidR="007E6091" w:rsidRDefault="007E6091">
      <w:pPr>
        <w:pStyle w:val="ConsPlusNormal"/>
        <w:jc w:val="right"/>
      </w:pPr>
      <w:r>
        <w:t>на 2021 - 2025 годы</w:t>
      </w:r>
    </w:p>
    <w:p w:rsidR="007E6091" w:rsidRDefault="007E6091">
      <w:pPr>
        <w:pStyle w:val="ConsPlusNormal"/>
        <w:jc w:val="right"/>
      </w:pPr>
      <w:r>
        <w:t>(в редакции постановления</w:t>
      </w:r>
    </w:p>
    <w:p w:rsidR="007E6091" w:rsidRDefault="007E6091">
      <w:pPr>
        <w:pStyle w:val="ConsPlusNormal"/>
        <w:jc w:val="right"/>
      </w:pPr>
      <w:r>
        <w:t>Совета Министров</w:t>
      </w:r>
    </w:p>
    <w:p w:rsidR="007E6091" w:rsidRDefault="007E6091">
      <w:pPr>
        <w:pStyle w:val="ConsPlusNormal"/>
        <w:jc w:val="right"/>
      </w:pPr>
      <w:r>
        <w:t>Республики Беларусь</w:t>
      </w:r>
    </w:p>
    <w:p w:rsidR="007E6091" w:rsidRDefault="007E6091">
      <w:pPr>
        <w:pStyle w:val="ConsPlusNormal"/>
        <w:jc w:val="right"/>
      </w:pPr>
      <w:r>
        <w:t>25.11.2024 N 868)</w:t>
      </w:r>
    </w:p>
    <w:p w:rsidR="007E6091" w:rsidRDefault="007E6091">
      <w:pPr>
        <w:pStyle w:val="ConsPlusNormal"/>
      </w:pPr>
    </w:p>
    <w:p w:rsidR="007E6091" w:rsidRDefault="007E6091">
      <w:pPr>
        <w:pStyle w:val="ConsPlusTitle"/>
        <w:jc w:val="center"/>
      </w:pPr>
      <w:bookmarkStart w:id="5" w:name="P466"/>
      <w:bookmarkEnd w:id="5"/>
      <w:r>
        <w:t>ОБЪЕМЫ И ИСТОЧНИКИ</w:t>
      </w:r>
    </w:p>
    <w:p w:rsidR="007E6091" w:rsidRDefault="007E6091">
      <w:pPr>
        <w:pStyle w:val="ConsPlusTitle"/>
        <w:jc w:val="center"/>
      </w:pPr>
      <w:r>
        <w:t>ФИНАНСИРОВАНИЯ КОМПЛЕКСА МЕРОПРИЯТИЙ ГОСУДАРСТВЕННОЙ ПРОГРАММЫ "ИНФРАСТРУКТУРА ПУНКТОВ ПРОПУСКА НА ГОСУДАРСТВЕННОЙ ГРАНИЦЕ РЕСПУБЛИКИ БЕЛАРУСЬ" НА 2021 - 2025 ГОДЫ</w:t>
      </w:r>
    </w:p>
    <w:p w:rsidR="007E6091" w:rsidRDefault="007E6091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Совмина от 25.11.2024 N 868)</w:t>
      </w:r>
    </w:p>
    <w:p w:rsidR="007E6091" w:rsidRDefault="007E6091">
      <w:pPr>
        <w:pStyle w:val="ConsPlusNormal"/>
      </w:pPr>
    </w:p>
    <w:p w:rsidR="007E6091" w:rsidRDefault="007E6091">
      <w:pPr>
        <w:pStyle w:val="ConsPlusNormal"/>
        <w:sectPr w:rsidR="007E609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1260"/>
        <w:gridCol w:w="2160"/>
        <w:gridCol w:w="1965"/>
        <w:gridCol w:w="2055"/>
        <w:gridCol w:w="1489"/>
        <w:gridCol w:w="1418"/>
        <w:gridCol w:w="1842"/>
      </w:tblGrid>
      <w:tr w:rsidR="007E6091" w:rsidTr="007E6091"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1092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Объемы финансирования (в текущих ценах, рублей)</w:t>
            </w:r>
          </w:p>
        </w:tc>
      </w:tr>
      <w:tr w:rsidR="007E6091" w:rsidTr="007E6091"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 xml:space="preserve">всего </w:t>
            </w:r>
            <w:hyperlink w:anchor="P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7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E6091" w:rsidTr="007E6091"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091" w:rsidRDefault="007E6091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 xml:space="preserve">2021 </w:t>
            </w:r>
            <w:hyperlink w:anchor="P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 xml:space="preserve">2022 </w:t>
            </w:r>
            <w:hyperlink w:anchor="P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091" w:rsidRDefault="007E6091">
            <w:pPr>
              <w:pStyle w:val="ConsPlusNormal"/>
              <w:jc w:val="center"/>
            </w:pPr>
            <w:r>
              <w:t>2025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Задача "Совершенствование инфраструктуры автодорожных пунктов пропуска на Государственной границе Республики Беларусь"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1. Средства республиканского бюджета в рамках Государственной инвестиционной программы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ГТК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7 873 577,65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7 873 577,65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2. Собственные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107 226 719,35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10 668 000,0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15 457 424,35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20 054 306,0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38 279 377,0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22 767 612,0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</w:pPr>
            <w:r>
              <w:t>3. Кредитные ресурсы банка-нерезидента, средства займа ЕИБ (</w:t>
            </w:r>
            <w:hyperlink r:id="rId35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Республики Беларусь от 6 апреля 2020 г. N 119 "Об утверждении и реализации международного договора")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18 400 000,0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18 400 000,0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</w:tr>
      <w:tr w:rsidR="007E6091" w:rsidTr="007E60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</w:pPr>
            <w:r>
              <w:t>4. Средства международной технической помощи)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61 682 000,0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61 682 000,0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-</w:t>
            </w:r>
          </w:p>
        </w:tc>
      </w:tr>
      <w:tr w:rsidR="007E6091" w:rsidTr="007E6091">
        <w:tblPrEx>
          <w:tblBorders>
            <w:insideV w:val="none" w:sz="0" w:space="0" w:color="auto"/>
          </w:tblBorders>
        </w:tblPrEx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195 182 297,0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90 750 000,0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23 331 002,0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20 054 306,0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38 279 377,0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091" w:rsidRDefault="007E6091">
            <w:pPr>
              <w:pStyle w:val="ConsPlusNormal"/>
              <w:jc w:val="center"/>
            </w:pPr>
            <w:r>
              <w:t>22 767 612,0</w:t>
            </w:r>
          </w:p>
        </w:tc>
      </w:tr>
    </w:tbl>
    <w:p w:rsidR="007E6091" w:rsidRDefault="007E6091">
      <w:pPr>
        <w:pStyle w:val="ConsPlusNormal"/>
        <w:sectPr w:rsidR="007E609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  <w:ind w:firstLine="540"/>
        <w:jc w:val="both"/>
      </w:pPr>
      <w:r>
        <w:t>--------------------------------</w:t>
      </w:r>
    </w:p>
    <w:p w:rsidR="007E6091" w:rsidRDefault="007E6091">
      <w:pPr>
        <w:pStyle w:val="ConsPlusNormal"/>
        <w:spacing w:before="220"/>
        <w:ind w:firstLine="540"/>
        <w:jc w:val="both"/>
      </w:pPr>
      <w:bookmarkStart w:id="6" w:name="P522"/>
      <w:bookmarkEnd w:id="6"/>
      <w:r>
        <w:t>&lt;*&gt; При расчете общего планового объема финансирования 2021 - 2025 годов учитывать суммы с учетом примечаний к 2021 и 2022 годам.</w:t>
      </w:r>
    </w:p>
    <w:p w:rsidR="007E6091" w:rsidRDefault="007E6091">
      <w:pPr>
        <w:pStyle w:val="ConsPlusNormal"/>
        <w:spacing w:before="220"/>
        <w:ind w:firstLine="540"/>
        <w:jc w:val="both"/>
      </w:pPr>
      <w:bookmarkStart w:id="7" w:name="P523"/>
      <w:bookmarkEnd w:id="7"/>
      <w:r>
        <w:t>&lt;**&gt; За 2021 год собственные средства - 2 964 946 рублей, кредитные ресурсы банка-нерезидента, средства займа ЕИБ (</w:t>
      </w:r>
      <w:hyperlink r:id="rId36">
        <w:r>
          <w:rPr>
            <w:color w:val="0000FF"/>
          </w:rPr>
          <w:t>Указ</w:t>
        </w:r>
      </w:hyperlink>
      <w:r>
        <w:t xml:space="preserve"> Президента Республики Беларусь от 6 апреля 2020 г. N 119) - 0 рублей, средства международной технической помощи - 6 123 041 рубль, итого - 9 087 987 рублей.</w:t>
      </w:r>
    </w:p>
    <w:p w:rsidR="007E6091" w:rsidRDefault="007E6091">
      <w:pPr>
        <w:pStyle w:val="ConsPlusNormal"/>
        <w:spacing w:before="220"/>
        <w:ind w:firstLine="540"/>
        <w:jc w:val="both"/>
      </w:pPr>
      <w:bookmarkStart w:id="8" w:name="P524"/>
      <w:bookmarkEnd w:id="8"/>
      <w:r>
        <w:t>&lt;***&gt; За 2022 год собственные средства - 15 017 424,35 рубля, итого - 22 891 002 рубля. В общем объеме финансирования не учитываются финансовые средства, не освоенные в 2021 (собственные средства - 7 703 054 рубля, средства займа ЕИБ - 18 400 000 рублей, средства международной технической помощи - 55 558 959 рублей) и 2022 (собственные средства - 440 000 рублей) годах.</w:t>
      </w:r>
    </w:p>
    <w:p w:rsidR="007E6091" w:rsidRDefault="007E6091">
      <w:pPr>
        <w:pStyle w:val="ConsPlusNormal"/>
        <w:ind w:firstLine="540"/>
        <w:jc w:val="both"/>
      </w:pPr>
    </w:p>
    <w:p w:rsidR="007E6091" w:rsidRDefault="007E6091">
      <w:pPr>
        <w:pStyle w:val="ConsPlusNormal"/>
      </w:pPr>
    </w:p>
    <w:p w:rsidR="007E6091" w:rsidRDefault="007E6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648" w:rsidRDefault="00EA7648"/>
    <w:sectPr w:rsidR="00EA764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91"/>
    <w:rsid w:val="00726C00"/>
    <w:rsid w:val="007E6091"/>
    <w:rsid w:val="00E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BC18"/>
  <w15:chartTrackingRefBased/>
  <w15:docId w15:val="{C767D8F5-9298-4D1C-8565-8564843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6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6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6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4DD98AF1C13D02893385810813DCC7BAE8585AB59116D32A60B360EA355F591AD3525F2F64C4034EB4DCA832E20D463EC8E1E2E99588818DDCD01F1P625O" TargetMode="External"/><Relationship Id="rId13" Type="http://schemas.openxmlformats.org/officeDocument/2006/relationships/hyperlink" Target="consultantplus://offline/ref=3D54DD98AF1C13D02893385810813DCC7BAE8585AB59116D32A60B360EA355F591AD3525F2F64C4034EB4DCA832E20D463EC8E1E2E99588818DDCD01F1P625O" TargetMode="External"/><Relationship Id="rId18" Type="http://schemas.openxmlformats.org/officeDocument/2006/relationships/hyperlink" Target="consultantplus://offline/ref=3D54DD98AF1C13D02893385810813DCC7BAE8585AB5A196D35AD0D360EA355F591AD3525F2E44C1838EA44D48324358232AAPD2EO" TargetMode="External"/><Relationship Id="rId26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34" Type="http://schemas.openxmlformats.org/officeDocument/2006/relationships/hyperlink" Target="consultantplus://offline/ref=3D54DD98AF1C13D02893385810813DCC7BAE8585AB59126D30AE09360EA355F591AD3525F2F64C4034EB4DC8862120D463EC8E1E2E99588818DDCD01F1P625O" TargetMode="External"/><Relationship Id="rId7" Type="http://schemas.openxmlformats.org/officeDocument/2006/relationships/hyperlink" Target="consultantplus://offline/ref=3D54DD98AF1C13D02893385810813DCC7BAE8585AB59116E3BAE0D360EA355F591AD3525F2F64C4034EB4DCA832F20D463EC8E1E2E99588818DDCD01F1P625O" TargetMode="External"/><Relationship Id="rId12" Type="http://schemas.openxmlformats.org/officeDocument/2006/relationships/hyperlink" Target="consultantplus://offline/ref=3D54DD98AF1C13D02893385810813DCC7BAE8585AB59116E3BAE0D360EA355F591AD3525F2F64C4034EB4DCA832F20D463EC8E1E2E99588818DDCD01F1P625O" TargetMode="External"/><Relationship Id="rId17" Type="http://schemas.openxmlformats.org/officeDocument/2006/relationships/hyperlink" Target="consultantplus://offline/ref=3D54DD98AF1C13D02893385810813DCC7BAE8585AB5A156835A609360EA355F591AD3525F2F64C4034EB4DC98B2120D463EC8E1E2E99588818DDCD01F1P625O" TargetMode="External"/><Relationship Id="rId25" Type="http://schemas.openxmlformats.org/officeDocument/2006/relationships/image" Target="media/image5.png"/><Relationship Id="rId33" Type="http://schemas.openxmlformats.org/officeDocument/2006/relationships/hyperlink" Target="consultantplus://offline/ref=3D54DD98AF1C13D02893385810813DCC7BAE8585AB59126D30AE09360EA355F591AD3525F2F64C4034EB4DCB872220D463EC8E1E2E99588818DDCD01F1P625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54DD98AF1C13D02893385810813DCC7BAE8585AB5A186F36AB06360EA355F591AD3525F2F64C4034EB4DCA822620D463EC8E1E2E99588818DDCD01F1P625O" TargetMode="External"/><Relationship Id="rId20" Type="http://schemas.openxmlformats.org/officeDocument/2006/relationships/hyperlink" Target="consultantplus://offline/ref=3D54DD98AF1C13D02893385810813DCC7BAE8585AB5A176935A60D360EA355F591AD3525F2F64C4034EB4DCA812520D463EC8E1E2E99588818DDCD01F1P625O" TargetMode="External"/><Relationship Id="rId29" Type="http://schemas.openxmlformats.org/officeDocument/2006/relationships/hyperlink" Target="consultantplus://offline/ref=3D54DD98AF1C13D02893385810813DCC7BAE8585AB59116E3BAE0D360EA355F591AD3525F2F64C4034EB4DCA822120D463EC8E1E2E99588818DDCD01F1P62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54DD98AF1C13D02893385810813DCC7BAE8585AB59106F3AA80A360EA355F591AD3525F2F64C4034EB4DCA832E20D463EC8E1E2E99588818DDCD01F1P625O" TargetMode="External"/><Relationship Id="rId11" Type="http://schemas.openxmlformats.org/officeDocument/2006/relationships/hyperlink" Target="consultantplus://offline/ref=3D54DD98AF1C13D02893385810813DCC7BAE8585AB59106F3AA80A360EA355F591AD3525F2F64C4034EB4DCA832E20D463EC8E1E2E99588818DDCD01F1P625O" TargetMode="External"/><Relationship Id="rId24" Type="http://schemas.openxmlformats.org/officeDocument/2006/relationships/image" Target="media/image4.png"/><Relationship Id="rId32" Type="http://schemas.openxmlformats.org/officeDocument/2006/relationships/hyperlink" Target="consultantplus://offline/ref=3D54DD98AF1C13D02893385810813DCC7BAE8585AB59126D30AE09360EA355F591AD3525F2F64C4034EB4DCA8B2020D463EC8E1E2E99588818DDCD01F1P625O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3D54DD98AF1C13D02893385810813DCC7BAE8585AB5A176935A60D360EA355F591AD3525F2F64C4034EB4DCA832E20D463EC8E1E2E99588818DDCD01F1P625O" TargetMode="External"/><Relationship Id="rId15" Type="http://schemas.openxmlformats.org/officeDocument/2006/relationships/hyperlink" Target="consultantplus://offline/ref=3D54DD98AF1C13D02893385810813DCC7BAE8585AB5A146F31A70A360EA355F591AD3525F2F64C4034EB4DC9822720D463EC8E1E2E99588818DDCD01F1P625O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hyperlink" Target="consultantplus://offline/ref=3D54DD98AF1C13D02893385810813DCC7BAE8585AB5A196E36AF09360EA355F591AD3525F2E44C1838EA44D48324358232AAPD2EO" TargetMode="External"/><Relationship Id="rId10" Type="http://schemas.openxmlformats.org/officeDocument/2006/relationships/hyperlink" Target="consultantplus://offline/ref=3D54DD98AF1C13D02893385810813DCC7BAE8585AB5A176935A60D360EA355F591AD3525F2F64C4034EB4DCA832E20D463EC8E1E2E99588818DDCD01F1P625O" TargetMode="External"/><Relationship Id="rId19" Type="http://schemas.openxmlformats.org/officeDocument/2006/relationships/hyperlink" Target="consultantplus://offline/ref=3D54DD98AF1C13D02893385810813DCC7BAE8585AB59116E3BAE0D360EA355F591AD3525F2F64C4034EB4DCA822620D463EC8E1E2E99588818DDCD01F1P625O" TargetMode="External"/><Relationship Id="rId31" Type="http://schemas.openxmlformats.org/officeDocument/2006/relationships/hyperlink" Target="consultantplus://offline/ref=3D54DD98AF1C13D02893385810813DCC7BAE8585AB59126D30AE09360EA355F591AD3525F2F64C4034EB4DCA822620D463EC8E1E2E99588818DDCD01F1P62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D54DD98AF1C13D02893385810813DCC7BAE8585AB59126D30AE09360EA355F591AD3525F2F64C4034EB4DCA832E20D463EC8E1E2E99588818DDCD01F1P625O" TargetMode="External"/><Relationship Id="rId14" Type="http://schemas.openxmlformats.org/officeDocument/2006/relationships/hyperlink" Target="consultantplus://offline/ref=3D54DD98AF1C13D02893385810813DCC7BAE8585AB59126D30AE09360EA355F591AD3525F2F64C4034EB4DCA832E20D463EC8E1E2E99588818DDCD01F1P625O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hyperlink" Target="consultantplus://offline/ref=3D54DD98AF1C13D02893385810813DCC7BAE8585AB59126D30AE09360EA355F591AD3525F2F64C4034EB4DCA832F20D463EC8E1E2E99588818DDCD01F1P625O" TargetMode="External"/><Relationship Id="rId35" Type="http://schemas.openxmlformats.org/officeDocument/2006/relationships/hyperlink" Target="consultantplus://offline/ref=3D54DD98AF1C13D02893385810813DCC7BAE8585AB5A196E36AF09360EA355F591AD3525F2E44C1838EA44D48324358232AAPD2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buselsa</dc:creator>
  <cp:keywords/>
  <dc:description/>
  <cp:lastModifiedBy>gupolovich</cp:lastModifiedBy>
  <cp:revision>3</cp:revision>
  <dcterms:created xsi:type="dcterms:W3CDTF">2025-02-19T14:54:00Z</dcterms:created>
  <dcterms:modified xsi:type="dcterms:W3CDTF">2025-02-20T08:10:00Z</dcterms:modified>
</cp:coreProperties>
</file>